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40D402" w14:textId="08A18C2C" w:rsidR="00BD5DA4" w:rsidRDefault="00937C9C" w:rsidP="00B27143">
      <w:pPr>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Załącznik</w:t>
      </w:r>
      <w:r w:rsidR="0052643B">
        <w:rPr>
          <w:rFonts w:ascii="Times New Roman" w:eastAsia="Times New Roman" w:hAnsi="Times New Roman" w:cs="Times New Roman"/>
          <w:lang w:eastAsia="pl-PL"/>
        </w:rPr>
        <w:t xml:space="preserve"> </w:t>
      </w:r>
      <w:r w:rsidR="00BD5DA4" w:rsidRPr="00BD5DA4">
        <w:rPr>
          <w:rFonts w:ascii="Times New Roman" w:eastAsia="Times New Roman" w:hAnsi="Times New Roman" w:cs="Times New Roman"/>
          <w:lang w:eastAsia="pl-PL"/>
        </w:rPr>
        <w:t>B.33</w:t>
      </w:r>
      <w:r w:rsidR="00F569AE">
        <w:rPr>
          <w:rFonts w:ascii="Times New Roman" w:eastAsia="Times New Roman" w:hAnsi="Times New Roman" w:cs="Times New Roman"/>
          <w:lang w:eastAsia="pl-PL"/>
        </w:rPr>
        <w:t>.</w:t>
      </w:r>
    </w:p>
    <w:p w14:paraId="32F1162B" w14:textId="77777777" w:rsidR="00B27143" w:rsidRPr="00BD5DA4" w:rsidRDefault="00B27143" w:rsidP="00B27143">
      <w:pPr>
        <w:spacing w:after="0" w:line="240" w:lineRule="auto"/>
        <w:jc w:val="both"/>
        <w:rPr>
          <w:rFonts w:ascii="Times New Roman" w:eastAsia="Times New Roman" w:hAnsi="Times New Roman" w:cs="Times New Roman"/>
          <w:lang w:eastAsia="pl-PL"/>
        </w:rPr>
      </w:pPr>
    </w:p>
    <w:p w14:paraId="45121523" w14:textId="3A4BA292" w:rsidR="009D7AE1" w:rsidRPr="004F7B25" w:rsidRDefault="009D7AE1" w:rsidP="004F7B25">
      <w:pPr>
        <w:autoSpaceDE w:val="0"/>
        <w:autoSpaceDN w:val="0"/>
        <w:adjustRightInd w:val="0"/>
        <w:spacing w:after="240" w:line="240" w:lineRule="auto"/>
        <w:jc w:val="both"/>
        <w:rPr>
          <w:rFonts w:ascii="Times New Roman" w:eastAsia="Times New Roman" w:hAnsi="Times New Roman" w:cs="Times New Roman"/>
          <w:b/>
          <w:bCs/>
          <w:sz w:val="28"/>
          <w:szCs w:val="24"/>
          <w:lang w:eastAsia="pl-PL"/>
        </w:rPr>
      </w:pPr>
      <w:r w:rsidRPr="004F7B25">
        <w:rPr>
          <w:rFonts w:ascii="Times New Roman" w:eastAsia="Times New Roman" w:hAnsi="Times New Roman" w:cs="Times New Roman"/>
          <w:b/>
          <w:bCs/>
          <w:sz w:val="28"/>
          <w:szCs w:val="24"/>
          <w:lang w:eastAsia="pl-PL"/>
        </w:rPr>
        <w:t>LECZENIE</w:t>
      </w:r>
      <w:r w:rsidR="0052643B" w:rsidRPr="004F7B25">
        <w:rPr>
          <w:rFonts w:ascii="Times New Roman" w:eastAsia="Times New Roman" w:hAnsi="Times New Roman" w:cs="Times New Roman"/>
          <w:b/>
          <w:bCs/>
          <w:sz w:val="28"/>
          <w:szCs w:val="24"/>
          <w:lang w:eastAsia="pl-PL"/>
        </w:rPr>
        <w:t xml:space="preserve"> </w:t>
      </w:r>
      <w:r w:rsidR="00543F74" w:rsidRPr="004F7B25">
        <w:rPr>
          <w:rFonts w:ascii="Times New Roman" w:eastAsia="Times New Roman" w:hAnsi="Times New Roman" w:cs="Times New Roman"/>
          <w:b/>
          <w:bCs/>
          <w:sz w:val="28"/>
          <w:szCs w:val="24"/>
          <w:lang w:eastAsia="pl-PL"/>
        </w:rPr>
        <w:t>CHORYCH</w:t>
      </w:r>
      <w:r w:rsidR="0052643B" w:rsidRPr="004F7B25">
        <w:rPr>
          <w:rFonts w:ascii="Times New Roman" w:eastAsia="Times New Roman" w:hAnsi="Times New Roman" w:cs="Times New Roman"/>
          <w:b/>
          <w:bCs/>
          <w:sz w:val="28"/>
          <w:szCs w:val="24"/>
          <w:lang w:eastAsia="pl-PL"/>
        </w:rPr>
        <w:t xml:space="preserve"> </w:t>
      </w:r>
      <w:r w:rsidR="00543F74" w:rsidRPr="004F7B25">
        <w:rPr>
          <w:rFonts w:ascii="Times New Roman" w:eastAsia="Times New Roman" w:hAnsi="Times New Roman" w:cs="Times New Roman"/>
          <w:b/>
          <w:bCs/>
          <w:sz w:val="28"/>
          <w:szCs w:val="24"/>
          <w:lang w:eastAsia="pl-PL"/>
        </w:rPr>
        <w:t>Z</w:t>
      </w:r>
      <w:r w:rsidR="0052643B" w:rsidRPr="004F7B25">
        <w:rPr>
          <w:rFonts w:ascii="Times New Roman" w:eastAsia="Times New Roman" w:hAnsi="Times New Roman" w:cs="Times New Roman"/>
          <w:b/>
          <w:bCs/>
          <w:sz w:val="28"/>
          <w:szCs w:val="24"/>
          <w:lang w:eastAsia="pl-PL"/>
        </w:rPr>
        <w:t xml:space="preserve"> </w:t>
      </w:r>
      <w:r w:rsidR="00985BEF" w:rsidRPr="004F7B25">
        <w:rPr>
          <w:rFonts w:ascii="Times New Roman" w:eastAsia="Times New Roman" w:hAnsi="Times New Roman" w:cs="Times New Roman"/>
          <w:b/>
          <w:bCs/>
          <w:sz w:val="28"/>
          <w:szCs w:val="24"/>
          <w:lang w:eastAsia="pl-PL"/>
        </w:rPr>
        <w:t>AKTYWN</w:t>
      </w:r>
      <w:r w:rsidR="00543F74" w:rsidRPr="004F7B25">
        <w:rPr>
          <w:rFonts w:ascii="Times New Roman" w:eastAsia="Times New Roman" w:hAnsi="Times New Roman" w:cs="Times New Roman"/>
          <w:b/>
          <w:bCs/>
          <w:sz w:val="28"/>
          <w:szCs w:val="24"/>
          <w:lang w:eastAsia="pl-PL"/>
        </w:rPr>
        <w:t>Ą</w:t>
      </w:r>
      <w:r w:rsidR="0052643B" w:rsidRPr="004F7B25">
        <w:rPr>
          <w:rFonts w:ascii="Times New Roman" w:eastAsia="Times New Roman" w:hAnsi="Times New Roman" w:cs="Times New Roman"/>
          <w:b/>
          <w:bCs/>
          <w:sz w:val="28"/>
          <w:szCs w:val="24"/>
          <w:lang w:eastAsia="pl-PL"/>
        </w:rPr>
        <w:t xml:space="preserve"> </w:t>
      </w:r>
      <w:r w:rsidR="00985BEF" w:rsidRPr="004F7B25">
        <w:rPr>
          <w:rFonts w:ascii="Times New Roman" w:eastAsia="Times New Roman" w:hAnsi="Times New Roman" w:cs="Times New Roman"/>
          <w:b/>
          <w:bCs/>
          <w:sz w:val="28"/>
          <w:szCs w:val="24"/>
          <w:lang w:eastAsia="pl-PL"/>
        </w:rPr>
        <w:t>POSTACI</w:t>
      </w:r>
      <w:r w:rsidR="00543F74" w:rsidRPr="004F7B25">
        <w:rPr>
          <w:rFonts w:ascii="Times New Roman" w:eastAsia="Times New Roman" w:hAnsi="Times New Roman" w:cs="Times New Roman"/>
          <w:b/>
          <w:bCs/>
          <w:sz w:val="28"/>
          <w:szCs w:val="24"/>
          <w:lang w:eastAsia="pl-PL"/>
        </w:rPr>
        <w:t>Ą</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REUMATOIDALNEGO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ZAPALENIA</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STAWÓW</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MŁODZIEŃCZEGO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IDIOPATYCZNEGO</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ZAPALENIA</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STAWÓW</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(ICD-10</w:t>
      </w:r>
      <w:r w:rsidR="00FE3490" w:rsidRPr="004F7B25">
        <w:rPr>
          <w:rFonts w:ascii="Times New Roman" w:eastAsia="Times New Roman" w:hAnsi="Times New Roman" w:cs="Times New Roman"/>
          <w:b/>
          <w:bCs/>
          <w:sz w:val="28"/>
          <w:szCs w:val="24"/>
          <w:lang w:eastAsia="pl-PL"/>
        </w:rPr>
        <w:t>:</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M05,</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M06,</w:t>
      </w:r>
      <w:r w:rsidR="0052643B" w:rsidRPr="004F7B25">
        <w:rPr>
          <w:rFonts w:ascii="Times New Roman" w:eastAsia="Times New Roman" w:hAnsi="Times New Roman" w:cs="Times New Roman"/>
          <w:b/>
          <w:bCs/>
          <w:sz w:val="28"/>
          <w:szCs w:val="24"/>
          <w:lang w:eastAsia="pl-PL"/>
        </w:rPr>
        <w:t xml:space="preserve"> </w:t>
      </w:r>
      <w:r w:rsidRPr="004F7B25">
        <w:rPr>
          <w:rFonts w:ascii="Times New Roman" w:eastAsia="Times New Roman" w:hAnsi="Times New Roman" w:cs="Times New Roman"/>
          <w:b/>
          <w:bCs/>
          <w:sz w:val="28"/>
          <w:szCs w:val="24"/>
          <w:lang w:eastAsia="pl-PL"/>
        </w:rPr>
        <w:t>M08)</w:t>
      </w: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99"/>
        <w:gridCol w:w="4294"/>
        <w:gridCol w:w="4295"/>
      </w:tblGrid>
      <w:tr w:rsidR="00154BF9" w:rsidRPr="00154BF9" w14:paraId="5F09B8FE" w14:textId="77777777" w:rsidTr="00CB2AC0">
        <w:trPr>
          <w:trHeight w:val="567"/>
        </w:trPr>
        <w:tc>
          <w:tcPr>
            <w:tcW w:w="0" w:type="auto"/>
            <w:gridSpan w:val="3"/>
            <w:vAlign w:val="center"/>
          </w:tcPr>
          <w:p w14:paraId="61C1B355" w14:textId="52A2629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ZAKRES</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ŚWIADCZENIA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GWARANTOWANEGO</w:t>
            </w:r>
          </w:p>
        </w:tc>
      </w:tr>
      <w:tr w:rsidR="00154BF9" w:rsidRPr="00154BF9" w14:paraId="458D3A4B" w14:textId="77777777" w:rsidTr="00FE3490">
        <w:trPr>
          <w:trHeight w:val="567"/>
        </w:trPr>
        <w:tc>
          <w:tcPr>
            <w:tcW w:w="6799" w:type="dxa"/>
            <w:tcBorders>
              <w:bottom w:val="single" w:sz="4" w:space="0" w:color="auto"/>
            </w:tcBorders>
            <w:vAlign w:val="center"/>
          </w:tcPr>
          <w:p w14:paraId="130ABE72" w14:textId="77777777"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ŚWIADCZENIOBIORCY</w:t>
            </w:r>
          </w:p>
        </w:tc>
        <w:tc>
          <w:tcPr>
            <w:tcW w:w="4294" w:type="dxa"/>
            <w:tcBorders>
              <w:bottom w:val="single" w:sz="4" w:space="0" w:color="auto"/>
            </w:tcBorders>
            <w:vAlign w:val="center"/>
          </w:tcPr>
          <w:p w14:paraId="1E38CA8C" w14:textId="54D677BA" w:rsidR="00CB2AC0"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SCHEMAT</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DAWKOWANIA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LEKÓW</w:t>
            </w:r>
            <w:r w:rsidR="0052643B" w:rsidRPr="00154BF9">
              <w:rPr>
                <w:rFonts w:ascii="Times New Roman" w:eastAsia="Times New Roman" w:hAnsi="Times New Roman" w:cs="Times New Roman"/>
                <w:b/>
                <w:sz w:val="20"/>
                <w:szCs w:val="20"/>
                <w:lang w:eastAsia="pl-PL"/>
              </w:rPr>
              <w:t xml:space="preserve"> </w:t>
            </w:r>
          </w:p>
          <w:p w14:paraId="03BF1A01" w14:textId="43A42EDA"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W</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PROGRAMIE</w:t>
            </w:r>
          </w:p>
        </w:tc>
        <w:tc>
          <w:tcPr>
            <w:tcW w:w="4295" w:type="dxa"/>
            <w:tcBorders>
              <w:bottom w:val="single" w:sz="4" w:space="0" w:color="auto"/>
              <w:right w:val="single" w:sz="4" w:space="0" w:color="auto"/>
            </w:tcBorders>
            <w:vAlign w:val="center"/>
          </w:tcPr>
          <w:p w14:paraId="5555543B" w14:textId="51D883F0" w:rsidR="009D7AE1" w:rsidRPr="00154BF9" w:rsidRDefault="009D7AE1" w:rsidP="00B27143">
            <w:pPr>
              <w:spacing w:after="0" w:line="240" w:lineRule="auto"/>
              <w:ind w:left="35" w:hanging="35"/>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BADANIA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DIAGNOSTYCZNE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WYKONYWANE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RAMACH</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tc>
      </w:tr>
      <w:tr w:rsidR="00154BF9" w:rsidRPr="00154BF9" w14:paraId="2BAFC583" w14:textId="77777777" w:rsidTr="00CB2AC0">
        <w:trPr>
          <w:trHeight w:val="567"/>
        </w:trPr>
        <w:tc>
          <w:tcPr>
            <w:tcW w:w="0" w:type="auto"/>
            <w:gridSpan w:val="3"/>
            <w:tcBorders>
              <w:bottom w:val="single" w:sz="4" w:space="0" w:color="auto"/>
              <w:right w:val="single" w:sz="4" w:space="0" w:color="auto"/>
            </w:tcBorders>
            <w:vAlign w:val="center"/>
          </w:tcPr>
          <w:p w14:paraId="56022770" w14:textId="556D52BC" w:rsidR="009D7AE1" w:rsidRPr="00154BF9" w:rsidRDefault="009D7AE1" w:rsidP="00B27143">
            <w:pPr>
              <w:spacing w:after="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REUMATOIDALNE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ZAPALENIE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STAWÓW</w:t>
            </w:r>
            <w:r w:rsidR="009C113F">
              <w:rPr>
                <w:rFonts w:ascii="Times New Roman" w:eastAsia="Times New Roman" w:hAnsi="Times New Roman" w:cs="Times New Roman"/>
                <w:b/>
                <w:sz w:val="20"/>
                <w:szCs w:val="20"/>
                <w:lang w:eastAsia="pl-PL"/>
              </w:rPr>
              <w:t xml:space="preserve"> (RZS)</w:t>
            </w:r>
          </w:p>
        </w:tc>
      </w:tr>
      <w:tr w:rsidR="00154BF9" w:rsidRPr="00154BF9" w14:paraId="1285A49E" w14:textId="77777777" w:rsidTr="00FE3490">
        <w:tc>
          <w:tcPr>
            <w:tcW w:w="6799" w:type="dxa"/>
            <w:tcBorders>
              <w:top w:val="single" w:sz="4" w:space="0" w:color="auto"/>
              <w:left w:val="single" w:sz="4" w:space="0" w:color="auto"/>
              <w:bottom w:val="single" w:sz="4" w:space="0" w:color="auto"/>
            </w:tcBorders>
          </w:tcPr>
          <w:p w14:paraId="227A4643" w14:textId="77777777" w:rsidR="000E78D0" w:rsidRPr="00154BF9" w:rsidRDefault="000E78D0" w:rsidP="004F7B25">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ramach programu lekowego udostępnia się terapie:</w:t>
            </w:r>
          </w:p>
          <w:p w14:paraId="47E63D0D"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adalimumabem</w:t>
            </w:r>
            <w:proofErr w:type="spellEnd"/>
            <w:r w:rsidRPr="004F7B25">
              <w:rPr>
                <w:rFonts w:ascii="Times New Roman" w:eastAsia="Times New Roman" w:hAnsi="Times New Roman" w:cs="Times New Roman"/>
                <w:i/>
                <w:iCs/>
                <w:color w:val="000000"/>
                <w:sz w:val="20"/>
                <w:szCs w:val="20"/>
                <w:lang w:eastAsia="pl-PL"/>
              </w:rPr>
              <w:t>,</w:t>
            </w:r>
          </w:p>
          <w:p w14:paraId="66C0E4DA"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certolizumabem</w:t>
            </w:r>
            <w:proofErr w:type="spellEnd"/>
            <w:r w:rsidRPr="004F7B25">
              <w:rPr>
                <w:rFonts w:ascii="Times New Roman" w:eastAsia="Times New Roman" w:hAnsi="Times New Roman" w:cs="Times New Roman"/>
                <w:i/>
                <w:iCs/>
                <w:color w:val="000000"/>
                <w:sz w:val="20"/>
                <w:szCs w:val="20"/>
                <w:lang w:eastAsia="pl-PL"/>
              </w:rPr>
              <w:t xml:space="preserve"> </w:t>
            </w:r>
            <w:proofErr w:type="spellStart"/>
            <w:r w:rsidRPr="004F7B25">
              <w:rPr>
                <w:rFonts w:ascii="Times New Roman" w:eastAsia="Times New Roman" w:hAnsi="Times New Roman" w:cs="Times New Roman"/>
                <w:i/>
                <w:iCs/>
                <w:color w:val="000000"/>
                <w:sz w:val="20"/>
                <w:szCs w:val="20"/>
                <w:lang w:eastAsia="pl-PL"/>
              </w:rPr>
              <w:t>pegol</w:t>
            </w:r>
            <w:proofErr w:type="spellEnd"/>
            <w:r w:rsidRPr="004F7B25">
              <w:rPr>
                <w:rFonts w:ascii="Times New Roman" w:eastAsia="Times New Roman" w:hAnsi="Times New Roman" w:cs="Times New Roman"/>
                <w:i/>
                <w:iCs/>
                <w:color w:val="000000"/>
                <w:sz w:val="20"/>
                <w:szCs w:val="20"/>
                <w:lang w:eastAsia="pl-PL"/>
              </w:rPr>
              <w:t xml:space="preserve">, </w:t>
            </w:r>
          </w:p>
          <w:p w14:paraId="111863D4"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etanerceptem</w:t>
            </w:r>
            <w:proofErr w:type="spellEnd"/>
            <w:r w:rsidRPr="004F7B25">
              <w:rPr>
                <w:rFonts w:ascii="Times New Roman" w:eastAsia="Times New Roman" w:hAnsi="Times New Roman" w:cs="Times New Roman"/>
                <w:i/>
                <w:iCs/>
                <w:color w:val="000000"/>
                <w:sz w:val="20"/>
                <w:szCs w:val="20"/>
                <w:lang w:eastAsia="pl-PL"/>
              </w:rPr>
              <w:t xml:space="preserve">, </w:t>
            </w:r>
          </w:p>
          <w:p w14:paraId="6FBA6D51"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golimumabem</w:t>
            </w:r>
            <w:proofErr w:type="spellEnd"/>
            <w:r w:rsidRPr="004F7B25">
              <w:rPr>
                <w:rFonts w:ascii="Times New Roman" w:eastAsia="Times New Roman" w:hAnsi="Times New Roman" w:cs="Times New Roman"/>
                <w:i/>
                <w:iCs/>
                <w:color w:val="000000"/>
                <w:sz w:val="20"/>
                <w:szCs w:val="20"/>
                <w:lang w:eastAsia="pl-PL"/>
              </w:rPr>
              <w:t>,</w:t>
            </w:r>
          </w:p>
          <w:p w14:paraId="5E00AA32"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infliksymabem</w:t>
            </w:r>
            <w:proofErr w:type="spellEnd"/>
            <w:r w:rsidRPr="004F7B25">
              <w:rPr>
                <w:rFonts w:ascii="Times New Roman" w:eastAsia="Times New Roman" w:hAnsi="Times New Roman" w:cs="Times New Roman"/>
                <w:i/>
                <w:iCs/>
                <w:color w:val="000000"/>
                <w:sz w:val="20"/>
                <w:szCs w:val="20"/>
                <w:lang w:eastAsia="pl-PL"/>
              </w:rPr>
              <w:t>,</w:t>
            </w:r>
          </w:p>
          <w:p w14:paraId="5A8E1E0C" w14:textId="0B054E7C"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tocilizumabem,</w:t>
            </w:r>
          </w:p>
          <w:p w14:paraId="1923A30E" w14:textId="44686139"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rytuksymabem</w:t>
            </w:r>
            <w:proofErr w:type="spellEnd"/>
            <w:r w:rsidRPr="004F7B25">
              <w:rPr>
                <w:rFonts w:ascii="Times New Roman" w:eastAsia="Times New Roman" w:hAnsi="Times New Roman" w:cs="Times New Roman"/>
                <w:i/>
                <w:iCs/>
                <w:color w:val="000000"/>
                <w:sz w:val="20"/>
                <w:szCs w:val="20"/>
                <w:lang w:eastAsia="pl-PL"/>
              </w:rPr>
              <w:t xml:space="preserve">, </w:t>
            </w:r>
          </w:p>
          <w:p w14:paraId="11BB0011" w14:textId="66D47CE1" w:rsidR="001F280A" w:rsidRPr="004F7B25" w:rsidRDefault="001F280A"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baricytynibem</w:t>
            </w:r>
            <w:proofErr w:type="spellEnd"/>
            <w:r w:rsidRPr="004F7B25">
              <w:rPr>
                <w:rFonts w:ascii="Times New Roman" w:eastAsia="Times New Roman" w:hAnsi="Times New Roman" w:cs="Times New Roman"/>
                <w:i/>
                <w:iCs/>
                <w:color w:val="000000"/>
                <w:sz w:val="20"/>
                <w:szCs w:val="20"/>
                <w:lang w:eastAsia="pl-PL"/>
              </w:rPr>
              <w:t>,</w:t>
            </w:r>
          </w:p>
          <w:p w14:paraId="081FA3F9" w14:textId="7BEFB977" w:rsidR="001F280A" w:rsidRPr="004F7B25" w:rsidRDefault="001F280A"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tofacytynibem</w:t>
            </w:r>
            <w:proofErr w:type="spellEnd"/>
            <w:r w:rsidRPr="004F7B25">
              <w:rPr>
                <w:rFonts w:ascii="Times New Roman" w:eastAsia="Times New Roman" w:hAnsi="Times New Roman" w:cs="Times New Roman"/>
                <w:i/>
                <w:iCs/>
                <w:color w:val="000000"/>
                <w:sz w:val="20"/>
                <w:szCs w:val="20"/>
                <w:lang w:eastAsia="pl-PL"/>
              </w:rPr>
              <w:t>,</w:t>
            </w:r>
          </w:p>
          <w:p w14:paraId="07330AC2" w14:textId="77777777" w:rsidR="000E78D0" w:rsidRPr="004F7B25" w:rsidRDefault="000E78D0"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upadacytynibem</w:t>
            </w:r>
            <w:proofErr w:type="spellEnd"/>
            <w:r w:rsidRPr="004F7B25">
              <w:rPr>
                <w:rFonts w:ascii="Times New Roman" w:eastAsia="Times New Roman" w:hAnsi="Times New Roman" w:cs="Times New Roman"/>
                <w:i/>
                <w:iCs/>
                <w:color w:val="000000"/>
                <w:sz w:val="20"/>
                <w:szCs w:val="20"/>
                <w:lang w:eastAsia="pl-PL"/>
              </w:rPr>
              <w:t>,</w:t>
            </w:r>
          </w:p>
          <w:p w14:paraId="4C307092" w14:textId="68DAE5D8" w:rsidR="000E78D0" w:rsidRPr="004F7B25" w:rsidRDefault="001F280A"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filgotynibem</w:t>
            </w:r>
            <w:proofErr w:type="spellEnd"/>
            <w:r w:rsidRPr="004F7B25">
              <w:rPr>
                <w:rFonts w:ascii="Times New Roman" w:eastAsia="Times New Roman" w:hAnsi="Times New Roman" w:cs="Times New Roman"/>
                <w:i/>
                <w:iCs/>
                <w:color w:val="000000"/>
                <w:sz w:val="20"/>
                <w:szCs w:val="20"/>
                <w:lang w:eastAsia="pl-PL"/>
              </w:rPr>
              <w:t>,</w:t>
            </w:r>
          </w:p>
          <w:p w14:paraId="7DF248C5" w14:textId="1531A905" w:rsidR="001F280A" w:rsidRDefault="001F280A" w:rsidP="007F271B">
            <w:pPr>
              <w:pStyle w:val="Akapitzlist"/>
              <w:numPr>
                <w:ilvl w:val="0"/>
                <w:numId w:val="25"/>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anakinrą</w:t>
            </w:r>
            <w:proofErr w:type="spellEnd"/>
            <w:r w:rsidR="009C113F">
              <w:rPr>
                <w:rFonts w:ascii="Times New Roman" w:eastAsia="Times New Roman" w:hAnsi="Times New Roman" w:cs="Times New Roman"/>
                <w:i/>
                <w:iCs/>
                <w:color w:val="000000"/>
                <w:sz w:val="20"/>
                <w:szCs w:val="20"/>
                <w:lang w:eastAsia="pl-PL"/>
              </w:rPr>
              <w:t>,</w:t>
            </w:r>
          </w:p>
          <w:p w14:paraId="2FD1D2A3" w14:textId="73E7AC4E" w:rsidR="009C113F" w:rsidRPr="009C113F" w:rsidRDefault="009C113F" w:rsidP="009C113F">
            <w:pPr>
              <w:pStyle w:val="Akapitzlist"/>
              <w:numPr>
                <w:ilvl w:val="0"/>
                <w:numId w:val="25"/>
              </w:numPr>
              <w:rPr>
                <w:rFonts w:ascii="Times New Roman" w:eastAsia="Times New Roman" w:hAnsi="Times New Roman" w:cs="Times New Roman"/>
                <w:i/>
                <w:iCs/>
                <w:color w:val="000000"/>
                <w:sz w:val="20"/>
                <w:szCs w:val="20"/>
                <w:lang w:eastAsia="pl-PL"/>
              </w:rPr>
            </w:pPr>
            <w:proofErr w:type="spellStart"/>
            <w:r w:rsidRPr="009C113F">
              <w:rPr>
                <w:rFonts w:ascii="Times New Roman" w:eastAsia="Times New Roman" w:hAnsi="Times New Roman" w:cs="Times New Roman"/>
                <w:i/>
                <w:iCs/>
                <w:color w:val="000000"/>
                <w:sz w:val="20"/>
                <w:szCs w:val="20"/>
                <w:lang w:eastAsia="pl-PL"/>
              </w:rPr>
              <w:t>kanakinumabem</w:t>
            </w:r>
            <w:proofErr w:type="spellEnd"/>
            <w:r>
              <w:rPr>
                <w:rFonts w:ascii="Times New Roman" w:eastAsia="Times New Roman" w:hAnsi="Times New Roman" w:cs="Times New Roman"/>
                <w:i/>
                <w:iCs/>
                <w:color w:val="000000"/>
                <w:sz w:val="20"/>
                <w:szCs w:val="20"/>
                <w:lang w:eastAsia="pl-PL"/>
              </w:rPr>
              <w:t>.</w:t>
            </w:r>
          </w:p>
          <w:p w14:paraId="795B5E70" w14:textId="77777777" w:rsidR="000E78D0" w:rsidRPr="004F7B25" w:rsidRDefault="000E78D0" w:rsidP="007F271B">
            <w:pPr>
              <w:autoSpaceDE w:val="0"/>
              <w:autoSpaceDN w:val="0"/>
              <w:adjustRightInd w:val="0"/>
              <w:spacing w:after="60" w:line="276" w:lineRule="auto"/>
              <w:jc w:val="both"/>
              <w:rPr>
                <w:rFonts w:ascii="Times New Roman" w:eastAsia="Times New Roman" w:hAnsi="Times New Roman" w:cs="Times New Roman"/>
                <w:sz w:val="20"/>
                <w:szCs w:val="20"/>
                <w:u w:val="single"/>
                <w:lang w:eastAsia="pl-PL"/>
              </w:rPr>
            </w:pPr>
            <w:r w:rsidRPr="004F7B25">
              <w:rPr>
                <w:rFonts w:ascii="Times New Roman" w:eastAsia="Times New Roman" w:hAnsi="Times New Roman" w:cs="Times New Roman"/>
                <w:sz w:val="20"/>
                <w:szCs w:val="20"/>
                <w:u w:val="single"/>
                <w:lang w:eastAsia="pl-PL"/>
              </w:rPr>
              <w:t>zgodnie ze wskazanymi w opisie programu warunkami i kryteriami.</w:t>
            </w:r>
          </w:p>
          <w:p w14:paraId="4142E0E1" w14:textId="77777777" w:rsidR="000E78D0" w:rsidRPr="00154BF9" w:rsidRDefault="000E78D0"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Kwalifikacja świadczeniobiorców do programu przeprowadzana jest przez Zespół Koordynacyjny ds. Leczenia Biologicznego w Chorobach Reumatycznych powoływany przez Prezesa Narodowego Funduszu Zdrowia.</w:t>
            </w:r>
          </w:p>
          <w:p w14:paraId="3EDF03DF" w14:textId="77777777" w:rsidR="000E78D0" w:rsidRPr="00154BF9" w:rsidRDefault="000E78D0" w:rsidP="007F271B">
            <w:pPr>
              <w:spacing w:after="60" w:line="276" w:lineRule="auto"/>
              <w:ind w:left="227"/>
              <w:jc w:val="both"/>
              <w:rPr>
                <w:rFonts w:ascii="Times New Roman" w:eastAsia="Times New Roman" w:hAnsi="Times New Roman" w:cs="Times New Roman"/>
                <w:b/>
                <w:sz w:val="20"/>
                <w:szCs w:val="20"/>
                <w:lang w:eastAsia="pl-PL"/>
              </w:rPr>
            </w:pPr>
          </w:p>
          <w:p w14:paraId="1138F38E" w14:textId="74DF8ADC" w:rsidR="009D7AE1" w:rsidRPr="004F7B25" w:rsidRDefault="009D7AE1" w:rsidP="007F271B">
            <w:pPr>
              <w:pStyle w:val="Akapitzlist"/>
              <w:numPr>
                <w:ilvl w:val="0"/>
                <w:numId w:val="19"/>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kwalifikacji</w:t>
            </w:r>
          </w:p>
          <w:p w14:paraId="7FD465CA" w14:textId="560BDF30" w:rsidR="009F35CF" w:rsidRPr="004F7B25" w:rsidRDefault="009F35CF"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4F7B25">
              <w:rPr>
                <w:rFonts w:ascii="Times New Roman" w:eastAsia="Times New Roman" w:hAnsi="Times New Roman" w:cs="Times New Roman"/>
                <w:sz w:val="20"/>
                <w:szCs w:val="20"/>
                <w:lang w:eastAsia="pl-PL"/>
              </w:rPr>
              <w:t>Do programu kwalifikowani są pacjenci spełniający łącznie następujące kryteria:</w:t>
            </w:r>
          </w:p>
          <w:p w14:paraId="628D318A" w14:textId="23FD7D79" w:rsidR="009D7AE1" w:rsidRPr="002A565F" w:rsidRDefault="009D7AE1" w:rsidP="002A565F">
            <w:pPr>
              <w:pStyle w:val="Akapitzlist"/>
              <w:numPr>
                <w:ilvl w:val="3"/>
                <w:numId w:val="19"/>
              </w:numPr>
              <w:autoSpaceDE w:val="0"/>
              <w:autoSpaceDN w:val="0"/>
              <w:adjustRightInd w:val="0"/>
              <w:spacing w:after="60" w:line="276" w:lineRule="auto"/>
              <w:contextualSpacing w:val="0"/>
              <w:jc w:val="both"/>
              <w:rPr>
                <w:rFonts w:ascii="Times New Roman" w:eastAsia="Times New Roman" w:hAnsi="Times New Roman" w:cs="Times New Roman"/>
                <w:color w:val="000000"/>
                <w:sz w:val="20"/>
                <w:szCs w:val="20"/>
                <w:lang w:eastAsia="pl-PL"/>
              </w:rPr>
            </w:pPr>
            <w:r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inhibitorem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TNF</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alfa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tocilizumabem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tofacytynibem</w:t>
            </w:r>
            <w:proofErr w:type="spellEnd"/>
            <w:r w:rsidR="0052643B" w:rsidRPr="004F7B25">
              <w:rPr>
                <w:rFonts w:ascii="Times New Roman" w:eastAsia="Times New Roman" w:hAnsi="Times New Roman" w:cs="Times New Roman"/>
                <w:color w:val="000000"/>
                <w:sz w:val="20"/>
                <w:szCs w:val="20"/>
                <w:lang w:eastAsia="pl-PL"/>
              </w:rPr>
              <w:t xml:space="preserve"> </w:t>
            </w:r>
            <w:r w:rsidR="00A1439C"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proofErr w:type="spellStart"/>
            <w:r w:rsidR="00A1439C" w:rsidRPr="004F7B25">
              <w:rPr>
                <w:rFonts w:ascii="Times New Roman" w:eastAsia="Times New Roman" w:hAnsi="Times New Roman" w:cs="Times New Roman"/>
                <w:color w:val="000000"/>
                <w:sz w:val="20"/>
                <w:szCs w:val="20"/>
                <w:lang w:eastAsia="pl-PL"/>
              </w:rPr>
              <w:t>baricytynibem</w:t>
            </w:r>
            <w:proofErr w:type="spellEnd"/>
            <w:r w:rsidR="0052643B" w:rsidRPr="004F7B25">
              <w:rPr>
                <w:rFonts w:ascii="Times New Roman" w:eastAsia="Times New Roman" w:hAnsi="Times New Roman" w:cs="Times New Roman"/>
                <w:color w:val="000000"/>
                <w:sz w:val="20"/>
                <w:szCs w:val="20"/>
                <w:lang w:eastAsia="pl-PL"/>
              </w:rPr>
              <w:t xml:space="preserve"> </w:t>
            </w:r>
            <w:r w:rsidR="00DF228D" w:rsidRPr="004F7B25">
              <w:rPr>
                <w:rFonts w:ascii="Times New Roman" w:eastAsia="Times New Roman" w:hAnsi="Times New Roman" w:cs="Times New Roman"/>
                <w:color w:val="000000"/>
                <w:sz w:val="20"/>
                <w:szCs w:val="20"/>
                <w:lang w:eastAsia="pl-PL"/>
              </w:rPr>
              <w:t>albo</w:t>
            </w:r>
            <w:r w:rsidR="0052643B" w:rsidRPr="004F7B25">
              <w:rPr>
                <w:rFonts w:ascii="Times New Roman" w:eastAsia="Times New Roman" w:hAnsi="Times New Roman" w:cs="Times New Roman"/>
                <w:color w:val="000000"/>
                <w:sz w:val="20"/>
                <w:szCs w:val="20"/>
                <w:lang w:eastAsia="pl-PL"/>
              </w:rPr>
              <w:t xml:space="preserve"> </w:t>
            </w:r>
            <w:proofErr w:type="spellStart"/>
            <w:r w:rsidR="00DF228D" w:rsidRPr="004F7B25">
              <w:rPr>
                <w:rFonts w:ascii="Times New Roman" w:eastAsia="Times New Roman" w:hAnsi="Times New Roman" w:cs="Times New Roman"/>
                <w:color w:val="000000"/>
                <w:sz w:val="20"/>
                <w:szCs w:val="20"/>
                <w:lang w:eastAsia="pl-PL"/>
              </w:rPr>
              <w:t>upadacytynibem</w:t>
            </w:r>
            <w:proofErr w:type="spellEnd"/>
            <w:r w:rsidR="002C5EE9" w:rsidRPr="004F7B25">
              <w:rPr>
                <w:rFonts w:ascii="Times New Roman" w:eastAsia="Times New Roman" w:hAnsi="Times New Roman" w:cs="Times New Roman"/>
                <w:color w:val="000000"/>
                <w:sz w:val="20"/>
                <w:szCs w:val="20"/>
                <w:lang w:eastAsia="pl-PL"/>
              </w:rPr>
              <w:t xml:space="preserve"> </w:t>
            </w:r>
            <w:r w:rsidR="00527E22" w:rsidRPr="004F7B25">
              <w:rPr>
                <w:rFonts w:ascii="Times New Roman" w:eastAsia="Times New Roman" w:hAnsi="Times New Roman" w:cs="Times New Roman"/>
                <w:color w:val="000000"/>
                <w:sz w:val="20"/>
                <w:szCs w:val="20"/>
                <w:lang w:eastAsia="pl-PL"/>
              </w:rPr>
              <w:t xml:space="preserve">albo </w:t>
            </w:r>
            <w:proofErr w:type="spellStart"/>
            <w:r w:rsidR="00527E22" w:rsidRPr="004F7B25">
              <w:rPr>
                <w:rFonts w:ascii="Times New Roman" w:eastAsia="Times New Roman" w:hAnsi="Times New Roman" w:cs="Times New Roman"/>
                <w:color w:val="000000"/>
                <w:sz w:val="20"/>
                <w:szCs w:val="20"/>
                <w:lang w:eastAsia="pl-PL"/>
              </w:rPr>
              <w:t>filgotynibem</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kwalifikuje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rozpoznaniem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003D7E27"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których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nastąpiło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niepowodzenie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dwoma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modyfikującymi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przebieg</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choroby/lekami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immunosupresyjnymi,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takimi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jak</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metotreksat</w:t>
            </w:r>
            <w:proofErr w:type="spellEnd"/>
            <w:r w:rsidRPr="004F7B25">
              <w:rPr>
                <w:rFonts w:ascii="Times New Roman" w:eastAsia="Times New Roman" w:hAnsi="Times New Roman" w:cs="Times New Roman"/>
                <w:color w:val="000000"/>
                <w:sz w:val="20"/>
                <w:szCs w:val="20"/>
                <w:lang w:eastAsia="pl-PL"/>
              </w:rPr>
              <w:t>,</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leflunomid</w:t>
            </w:r>
            <w:proofErr w:type="spellEnd"/>
            <w:r w:rsidRPr="004F7B25">
              <w:rPr>
                <w:rFonts w:ascii="Times New Roman" w:eastAsia="Times New Roman" w:hAnsi="Times New Roman" w:cs="Times New Roman"/>
                <w:color w:val="000000"/>
                <w:sz w:val="20"/>
                <w:szCs w:val="20"/>
                <w:lang w:eastAsia="pl-PL"/>
              </w:rPr>
              <w:t>,</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sulfasalazyna</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oraz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antymalaryczne,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zgodnie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obowiązującymi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zaleceniami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EULAR,</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których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każdy</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zastosowany</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był</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przez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3</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miesiące</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monoterapii</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łączonej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tym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metotreksatem</w:t>
            </w:r>
            <w:proofErr w:type="spellEnd"/>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postaci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doustnej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podskórnej)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niepowodzeniu</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proofErr w:type="spellStart"/>
            <w:r w:rsidR="00A36956" w:rsidRPr="004F7B25">
              <w:rPr>
                <w:rFonts w:ascii="Times New Roman" w:eastAsia="Times New Roman" w:hAnsi="Times New Roman" w:cs="Times New Roman"/>
                <w:color w:val="000000"/>
                <w:sz w:val="20"/>
                <w:szCs w:val="20"/>
                <w:lang w:eastAsia="pl-PL"/>
              </w:rPr>
              <w:t>metotreksatem</w:t>
            </w:r>
            <w:proofErr w:type="spellEnd"/>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postaci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doustnej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lub</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podskórnej,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która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była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zastosowana</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przez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co</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najmniej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3</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miesiące</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u</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pacjentów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występowaniem</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czynników</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złej</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prognozy</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zgodnie</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z</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obowiązującymi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rekomendacjami</w:t>
            </w:r>
            <w:r w:rsidR="0052643B" w:rsidRPr="004F7B25">
              <w:rPr>
                <w:rFonts w:ascii="Times New Roman" w:eastAsia="Times New Roman" w:hAnsi="Times New Roman" w:cs="Times New Roman"/>
                <w:color w:val="000000"/>
                <w:sz w:val="20"/>
                <w:szCs w:val="20"/>
                <w:lang w:eastAsia="pl-PL"/>
              </w:rPr>
              <w:t xml:space="preserve"> </w:t>
            </w:r>
            <w:r w:rsidR="00A36956" w:rsidRPr="004F7B25">
              <w:rPr>
                <w:rFonts w:ascii="Times New Roman" w:eastAsia="Times New Roman" w:hAnsi="Times New Roman" w:cs="Times New Roman"/>
                <w:color w:val="000000"/>
                <w:sz w:val="20"/>
                <w:szCs w:val="20"/>
                <w:lang w:eastAsia="pl-PL"/>
              </w:rPr>
              <w:t>EULAR</w:t>
            </w:r>
            <w:r w:rsidR="0052643B" w:rsidRPr="004F7B25">
              <w:rPr>
                <w:rFonts w:ascii="Times New Roman" w:eastAsia="Times New Roman" w:hAnsi="Times New Roman" w:cs="Times New Roman"/>
                <w:color w:val="000000"/>
                <w:sz w:val="20"/>
                <w:szCs w:val="20"/>
                <w:lang w:eastAsia="pl-PL"/>
              </w:rPr>
              <w:t xml:space="preserve"> </w:t>
            </w:r>
            <w:r w:rsidR="00B26FC8" w:rsidRPr="00B26FC8">
              <w:rPr>
                <w:rFonts w:ascii="Times New Roman" w:eastAsia="Times New Roman" w:hAnsi="Times New Roman"/>
                <w:color w:val="000000"/>
                <w:sz w:val="20"/>
                <w:szCs w:val="20"/>
                <w:lang w:eastAsia="pl-PL"/>
              </w:rPr>
              <w:t xml:space="preserve"> </w:t>
            </w:r>
            <w:r w:rsidR="00B26FC8" w:rsidRPr="00B26FC8">
              <w:rPr>
                <w:rFonts w:ascii="Times New Roman" w:eastAsia="Times New Roman" w:hAnsi="Times New Roman" w:cs="Times New Roman"/>
                <w:color w:val="000000"/>
                <w:sz w:val="20"/>
                <w:szCs w:val="20"/>
                <w:lang w:eastAsia="pl-PL"/>
              </w:rPr>
              <w:t xml:space="preserve">oraz do terapii </w:t>
            </w:r>
            <w:proofErr w:type="spellStart"/>
            <w:r w:rsidR="00B26FC8" w:rsidRPr="00B26FC8">
              <w:rPr>
                <w:rFonts w:ascii="Times New Roman" w:eastAsia="Times New Roman" w:hAnsi="Times New Roman" w:cs="Times New Roman"/>
                <w:color w:val="000000"/>
                <w:sz w:val="20"/>
                <w:szCs w:val="20"/>
                <w:lang w:eastAsia="pl-PL"/>
              </w:rPr>
              <w:t>anakinrą</w:t>
            </w:r>
            <w:proofErr w:type="spellEnd"/>
            <w:r w:rsidR="00B26FC8" w:rsidRPr="00B26FC8">
              <w:rPr>
                <w:rFonts w:ascii="Times New Roman" w:eastAsia="Times New Roman" w:hAnsi="Times New Roman" w:cs="Times New Roman"/>
                <w:color w:val="000000"/>
                <w:sz w:val="20"/>
                <w:szCs w:val="20"/>
                <w:lang w:eastAsia="pl-PL"/>
              </w:rPr>
              <w:t xml:space="preserve"> </w:t>
            </w:r>
            <w:r w:rsidR="002A565F">
              <w:rPr>
                <w:rFonts w:ascii="Times New Roman" w:eastAsia="Times New Roman" w:hAnsi="Times New Roman" w:cs="Times New Roman"/>
                <w:color w:val="000000"/>
                <w:sz w:val="20"/>
                <w:szCs w:val="20"/>
                <w:lang w:eastAsia="pl-PL"/>
              </w:rPr>
              <w:t>albo</w:t>
            </w:r>
            <w:r w:rsidR="00B26FC8" w:rsidRPr="00B26FC8">
              <w:rPr>
                <w:rFonts w:ascii="Times New Roman" w:eastAsia="Times New Roman" w:hAnsi="Times New Roman" w:cs="Times New Roman"/>
                <w:color w:val="000000"/>
                <w:sz w:val="20"/>
                <w:szCs w:val="20"/>
                <w:lang w:eastAsia="pl-PL"/>
              </w:rPr>
              <w:t xml:space="preserve"> </w:t>
            </w:r>
            <w:proofErr w:type="spellStart"/>
            <w:r w:rsidR="00B26FC8" w:rsidRPr="00B26FC8">
              <w:rPr>
                <w:rFonts w:ascii="Times New Roman" w:eastAsia="Times New Roman" w:hAnsi="Times New Roman" w:cs="Times New Roman"/>
                <w:color w:val="000000"/>
                <w:sz w:val="20"/>
                <w:szCs w:val="20"/>
                <w:lang w:eastAsia="pl-PL"/>
              </w:rPr>
              <w:t>kanakinumabem</w:t>
            </w:r>
            <w:proofErr w:type="spellEnd"/>
            <w:r w:rsidR="00B26FC8" w:rsidRPr="00B26FC8">
              <w:rPr>
                <w:rFonts w:ascii="Times New Roman" w:eastAsia="Times New Roman" w:hAnsi="Times New Roman" w:cs="Times New Roman"/>
                <w:color w:val="000000"/>
                <w:sz w:val="20"/>
                <w:szCs w:val="20"/>
                <w:lang w:eastAsia="pl-PL"/>
              </w:rPr>
              <w:t xml:space="preserve"> kwalifikuje się pacjentów z rozpoznaniem choroby </w:t>
            </w:r>
            <w:proofErr w:type="spellStart"/>
            <w:r w:rsidR="00B26FC8" w:rsidRPr="00B26FC8">
              <w:rPr>
                <w:rFonts w:ascii="Times New Roman" w:eastAsia="Times New Roman" w:hAnsi="Times New Roman" w:cs="Times New Roman"/>
                <w:color w:val="000000"/>
                <w:sz w:val="20"/>
                <w:szCs w:val="20"/>
                <w:lang w:eastAsia="pl-PL"/>
              </w:rPr>
              <w:t>Stilla</w:t>
            </w:r>
            <w:proofErr w:type="spellEnd"/>
            <w:r w:rsidR="00B26FC8" w:rsidRPr="00B26FC8">
              <w:rPr>
                <w:rFonts w:ascii="Times New Roman" w:eastAsia="Times New Roman" w:hAnsi="Times New Roman" w:cs="Times New Roman"/>
                <w:color w:val="000000"/>
                <w:sz w:val="20"/>
                <w:szCs w:val="20"/>
                <w:lang w:eastAsia="pl-PL"/>
              </w:rPr>
              <w:t xml:space="preserve"> z początkiem w wieku dorosłym (AOSD) po niepowodzeniu wcześniejszej terapii, w zależności od postaci klinicznej choroby, </w:t>
            </w:r>
            <w:proofErr w:type="spellStart"/>
            <w:r w:rsidR="00B26FC8" w:rsidRPr="00B26FC8">
              <w:rPr>
                <w:rFonts w:ascii="Times New Roman" w:eastAsia="Times New Roman" w:hAnsi="Times New Roman" w:cs="Times New Roman"/>
                <w:color w:val="000000"/>
                <w:sz w:val="20"/>
                <w:szCs w:val="20"/>
                <w:lang w:eastAsia="pl-PL"/>
              </w:rPr>
              <w:t>glikokortykosteroidami</w:t>
            </w:r>
            <w:proofErr w:type="spellEnd"/>
            <w:r w:rsidR="00B26FC8" w:rsidRPr="00B26FC8">
              <w:rPr>
                <w:rFonts w:ascii="Times New Roman" w:eastAsia="Times New Roman" w:hAnsi="Times New Roman" w:cs="Times New Roman"/>
                <w:color w:val="000000"/>
                <w:sz w:val="20"/>
                <w:szCs w:val="20"/>
                <w:lang w:eastAsia="pl-PL"/>
              </w:rPr>
              <w:t xml:space="preserve"> (GKS) lub co najmniej dwoma  lekami modyfikującymi przebieg choroby/lekami immunosupresyjnymi zgodnie z obowiązującymi rekomendacjami:</w:t>
            </w:r>
          </w:p>
          <w:p w14:paraId="5DB2666E" w14:textId="3B83EF98" w:rsidR="009D7AE1" w:rsidRPr="004F7B25" w:rsidRDefault="009D7AE1" w:rsidP="007F271B">
            <w:pPr>
              <w:pStyle w:val="Akapitzlist"/>
              <w:numPr>
                <w:ilvl w:val="4"/>
                <w:numId w:val="19"/>
              </w:numPr>
              <w:autoSpaceDE w:val="0"/>
              <w:autoSpaceDN w:val="0"/>
              <w:adjustRightInd w:val="0"/>
              <w:spacing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dużą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aktywnością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choroby,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udokumentowaną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trakcie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dwóch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badań</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lekarskich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odstępie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1-3</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miesięcy.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Dużą</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aktywność</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choroby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stwierdza</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się,</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gdy</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jest</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spełnione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jedno</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poniższych</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kryteriów:</w:t>
            </w:r>
            <w:r w:rsidR="0052643B" w:rsidRPr="004F7B25">
              <w:rPr>
                <w:rFonts w:ascii="Times New Roman" w:hAnsi="Times New Roman" w:cs="Times New Roman"/>
                <w:sz w:val="20"/>
                <w:szCs w:val="20"/>
              </w:rPr>
              <w:t xml:space="preserve"> </w:t>
            </w:r>
          </w:p>
          <w:p w14:paraId="2D60B3DC" w14:textId="1F24FA40"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5,1</w:t>
            </w:r>
            <w:r w:rsidR="0052643B" w:rsidRPr="00154BF9">
              <w:rPr>
                <w:rFonts w:ascii="Times New Roman" w:eastAsia="Times New Roman" w:hAnsi="Times New Roman" w:cs="Times New Roman"/>
                <w:sz w:val="20"/>
                <w:szCs w:val="20"/>
                <w:lang w:eastAsia="pl-PL"/>
              </w:rPr>
              <w:t xml:space="preserve"> </w:t>
            </w:r>
          </w:p>
          <w:p w14:paraId="20106800" w14:textId="0BB1D0E3"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59B1E4F8" w14:textId="2F407C58"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3,7</w:t>
            </w:r>
            <w:r w:rsidR="0052643B" w:rsidRPr="00154BF9">
              <w:rPr>
                <w:rFonts w:ascii="Times New Roman" w:eastAsia="Times New Roman" w:hAnsi="Times New Roman" w:cs="Times New Roman"/>
                <w:sz w:val="20"/>
                <w:szCs w:val="20"/>
                <w:lang w:eastAsia="pl-PL"/>
              </w:rPr>
              <w:t xml:space="preserve"> </w:t>
            </w:r>
          </w:p>
          <w:p w14:paraId="307279E7" w14:textId="097DBF60"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46FBBB6D" w14:textId="648AFEE4"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większa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p>
          <w:p w14:paraId="32BB6BB6" w14:textId="18A9D922"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A9F7704" w14:textId="1892FD8F" w:rsidR="00405FB5" w:rsidRPr="004F7B25" w:rsidRDefault="009D7AE1" w:rsidP="007F271B">
            <w:pPr>
              <w:pStyle w:val="Akapitzlist"/>
              <w:numPr>
                <w:ilvl w:val="4"/>
                <w:numId w:val="19"/>
              </w:numPr>
              <w:autoSpaceDE w:val="0"/>
              <w:autoSpaceDN w:val="0"/>
              <w:adjustRightInd w:val="0"/>
              <w:spacing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z</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innymi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postaciami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RZS,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niezależnie</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od</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wartości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DAS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28,</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DAS,</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SDAI,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tj.:</w:t>
            </w:r>
          </w:p>
          <w:p w14:paraId="4EC38D62" w14:textId="7EC68881" w:rsidR="00A857A0" w:rsidRPr="00154BF9" w:rsidRDefault="009D7AE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405FB5" w:rsidRPr="00154BF9">
              <w:rPr>
                <w:rFonts w:ascii="Times New Roman" w:eastAsia="Times New Roman" w:hAnsi="Times New Roman" w:cs="Times New Roman"/>
                <w:sz w:val="20"/>
                <w:szCs w:val="20"/>
                <w:lang w:eastAsia="pl-PL"/>
              </w:rPr>
              <w:t>c</w:t>
            </w:r>
            <w:r w:rsidR="003D7E27" w:rsidRPr="00154BF9">
              <w:rPr>
                <w:rFonts w:ascii="Times New Roman" w:eastAsia="Times New Roman" w:hAnsi="Times New Roman" w:cs="Times New Roman"/>
                <w:sz w:val="20"/>
                <w:szCs w:val="20"/>
                <w:lang w:eastAsia="pl-PL"/>
              </w:rPr>
              <w:t>horob</w:t>
            </w:r>
            <w:r w:rsidR="002B253E" w:rsidRPr="00154BF9">
              <w:rPr>
                <w:rFonts w:ascii="Times New Roman" w:eastAsia="Times New Roman" w:hAnsi="Times New Roman" w:cs="Times New Roman"/>
                <w:sz w:val="20"/>
                <w:szCs w:val="20"/>
                <w:lang w:eastAsia="pl-PL"/>
              </w:rPr>
              <w:t>ą</w:t>
            </w:r>
            <w:r w:rsidR="0052643B" w:rsidRPr="00154BF9">
              <w:rPr>
                <w:rFonts w:ascii="Times New Roman" w:eastAsia="Times New Roman" w:hAnsi="Times New Roman" w:cs="Times New Roman"/>
                <w:sz w:val="20"/>
                <w:szCs w:val="20"/>
                <w:lang w:eastAsia="pl-PL"/>
              </w:rPr>
              <w:t xml:space="preserve"> </w:t>
            </w:r>
            <w:proofErr w:type="spellStart"/>
            <w:r w:rsidR="003D7E27"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003D7E27"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3D7E27"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00405FB5" w:rsidRPr="00154BF9">
              <w:rPr>
                <w:rFonts w:ascii="Times New Roman" w:eastAsia="Times New Roman" w:hAnsi="Times New Roman" w:cs="Times New Roman"/>
                <w:sz w:val="20"/>
                <w:szCs w:val="20"/>
                <w:lang w:eastAsia="pl-PL"/>
              </w:rPr>
              <w:t>(</w:t>
            </w:r>
            <w:r w:rsidR="003D7E27" w:rsidRPr="00154BF9">
              <w:rPr>
                <w:rFonts w:ascii="Times New Roman" w:eastAsia="Times New Roman" w:hAnsi="Times New Roman" w:cs="Times New Roman"/>
                <w:sz w:val="20"/>
                <w:szCs w:val="20"/>
                <w:lang w:eastAsia="pl-PL"/>
              </w:rPr>
              <w:t>AOS</w:t>
            </w:r>
            <w:r w:rsidR="00405FB5" w:rsidRPr="00154BF9">
              <w:rPr>
                <w:rFonts w:ascii="Times New Roman" w:eastAsia="Times New Roman" w:hAnsi="Times New Roman" w:cs="Times New Roman"/>
                <w:sz w:val="20"/>
                <w:szCs w:val="20"/>
                <w:lang w:eastAsia="pl-PL"/>
              </w:rPr>
              <w:t>D)</w:t>
            </w:r>
            <w:r w:rsidR="0052643B" w:rsidRPr="00154BF9">
              <w:rPr>
                <w:rFonts w:ascii="Times New Roman" w:eastAsia="Times New Roman" w:hAnsi="Times New Roman" w:cs="Times New Roman"/>
                <w:strike/>
                <w:sz w:val="20"/>
                <w:szCs w:val="20"/>
                <w:lang w:eastAsia="pl-PL"/>
              </w:rPr>
              <w:t xml:space="preserve"> </w:t>
            </w:r>
          </w:p>
          <w:p w14:paraId="712C60B9" w14:textId="7A41F0E5"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33CC48C" w14:textId="5D12404F"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wtórną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amyloidozą</w:t>
            </w:r>
            <w:proofErr w:type="spellEnd"/>
            <w:r w:rsidR="0052643B" w:rsidRPr="00154BF9">
              <w:rPr>
                <w:rFonts w:ascii="Times New Roman" w:eastAsia="Times New Roman" w:hAnsi="Times New Roman" w:cs="Times New Roman"/>
                <w:sz w:val="20"/>
                <w:szCs w:val="20"/>
                <w:lang w:eastAsia="pl-PL"/>
              </w:rPr>
              <w:t xml:space="preserve"> </w:t>
            </w:r>
          </w:p>
          <w:p w14:paraId="4E87888D" w14:textId="6BAADA56"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3246D588" w14:textId="7D3EB993" w:rsidR="002550C4" w:rsidRPr="00154BF9" w:rsidRDefault="009D7AE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00350537" w:rsidRPr="00154BF9">
              <w:rPr>
                <w:rFonts w:ascii="Times New Roman" w:eastAsia="Times New Roman" w:hAnsi="Times New Roman" w:cs="Times New Roman"/>
                <w:sz w:val="20"/>
                <w:szCs w:val="20"/>
                <w:lang w:eastAsia="pl-PL"/>
              </w:rPr>
              <w:t>naczyń,</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zastrzeżeniem,</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002550C4"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00257D3C">
              <w:t xml:space="preserve"> </w:t>
            </w:r>
            <w:r w:rsidR="00257D3C" w:rsidRPr="00257D3C">
              <w:rPr>
                <w:rFonts w:ascii="Times New Roman" w:eastAsia="Times New Roman" w:hAnsi="Times New Roman" w:cs="Times New Roman"/>
                <w:sz w:val="20"/>
                <w:szCs w:val="20"/>
                <w:lang w:eastAsia="pl-PL"/>
              </w:rPr>
              <w:t xml:space="preserve">albo </w:t>
            </w:r>
            <w:proofErr w:type="spellStart"/>
            <w:r w:rsidR="00257D3C" w:rsidRPr="00257D3C">
              <w:rPr>
                <w:rFonts w:ascii="Times New Roman" w:eastAsia="Times New Roman" w:hAnsi="Times New Roman" w:cs="Times New Roman"/>
                <w:sz w:val="20"/>
                <w:szCs w:val="20"/>
                <w:lang w:eastAsia="pl-PL"/>
              </w:rPr>
              <w:t>kanakinumabem</w:t>
            </w:r>
            <w:proofErr w:type="spellEnd"/>
            <w:r w:rsidR="00257D3C" w:rsidRPr="00257D3C">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kwalifikuje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002550C4"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002550C4" w:rsidRPr="00154BF9">
              <w:rPr>
                <w:rFonts w:ascii="Times New Roman" w:eastAsia="Times New Roman" w:hAnsi="Times New Roman" w:cs="Times New Roman"/>
                <w:sz w:val="20"/>
                <w:szCs w:val="20"/>
                <w:lang w:eastAsia="pl-PL"/>
              </w:rPr>
              <w:t>(AOSD).</w:t>
            </w:r>
          </w:p>
          <w:p w14:paraId="310833A9" w14:textId="74F21160" w:rsidR="009D7AE1" w:rsidRPr="004F7B25" w:rsidRDefault="009D7AE1" w:rsidP="007F271B">
            <w:pPr>
              <w:pStyle w:val="Akapitzlist"/>
              <w:numPr>
                <w:ilvl w:val="3"/>
                <w:numId w:val="19"/>
              </w:numPr>
              <w:autoSpaceDE w:val="0"/>
              <w:autoSpaceDN w:val="0"/>
              <w:adjustRightInd w:val="0"/>
              <w:spacing w:after="60" w:line="276" w:lineRule="auto"/>
              <w:contextualSpacing w:val="0"/>
              <w:jc w:val="both"/>
              <w:rPr>
                <w:rFonts w:ascii="Times New Roman" w:eastAsia="Times New Roman" w:hAnsi="Times New Roman" w:cs="Times New Roman"/>
                <w:color w:val="000000"/>
                <w:sz w:val="20"/>
                <w:szCs w:val="20"/>
                <w:lang w:eastAsia="pl-PL"/>
              </w:rPr>
            </w:pPr>
            <w:r w:rsidRPr="004F7B25">
              <w:rPr>
                <w:rFonts w:ascii="Times New Roman" w:eastAsia="Times New Roman" w:hAnsi="Times New Roman" w:cs="Times New Roman"/>
                <w:color w:val="000000"/>
                <w:sz w:val="20"/>
                <w:szCs w:val="20"/>
                <w:lang w:eastAsia="pl-PL"/>
              </w:rPr>
              <w:t>Do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terapii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inhibitorem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TNF</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alfa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kwalifikują</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się,</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bez</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konieczności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spełnienia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kryterium</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pkt</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1</w:t>
            </w:r>
            <w:r w:rsidR="0052643B" w:rsidRPr="004F7B25">
              <w:rPr>
                <w:rFonts w:ascii="Times New Roman" w:eastAsia="Times New Roman" w:hAnsi="Times New Roman" w:cs="Times New Roman"/>
                <w:color w:val="000000"/>
                <w:sz w:val="20"/>
                <w:szCs w:val="20"/>
                <w:lang w:eastAsia="pl-PL"/>
              </w:rPr>
              <w:t xml:space="preserve"> </w:t>
            </w:r>
            <w:proofErr w:type="spellStart"/>
            <w:r w:rsidRPr="004F7B25">
              <w:rPr>
                <w:rFonts w:ascii="Times New Roman" w:eastAsia="Times New Roman" w:hAnsi="Times New Roman" w:cs="Times New Roman"/>
                <w:color w:val="000000"/>
                <w:sz w:val="20"/>
                <w:szCs w:val="20"/>
                <w:lang w:eastAsia="pl-PL"/>
              </w:rPr>
              <w:t>ppkt</w:t>
            </w:r>
            <w:proofErr w:type="spellEnd"/>
            <w:r w:rsidR="0052643B" w:rsidRPr="004F7B25">
              <w:rPr>
                <w:rFonts w:ascii="Times New Roman" w:eastAsia="Times New Roman" w:hAnsi="Times New Roman" w:cs="Times New Roman"/>
                <w:color w:val="000000"/>
                <w:sz w:val="20"/>
                <w:szCs w:val="20"/>
                <w:lang w:eastAsia="pl-PL"/>
              </w:rPr>
              <w:t xml:space="preserve"> </w:t>
            </w:r>
            <w:r w:rsidR="00C421A5" w:rsidRPr="004F7B25">
              <w:rPr>
                <w:rFonts w:ascii="Times New Roman" w:eastAsia="Times New Roman" w:hAnsi="Times New Roman" w:cs="Times New Roman"/>
                <w:color w:val="000000"/>
                <w:sz w:val="20"/>
                <w:szCs w:val="20"/>
                <w:lang w:eastAsia="pl-PL"/>
              </w:rPr>
              <w:t>1</w:t>
            </w:r>
            <w:r w:rsidRPr="004F7B25">
              <w:rPr>
                <w:rFonts w:ascii="Times New Roman" w:eastAsia="Times New Roman" w:hAnsi="Times New Roman" w:cs="Times New Roman"/>
                <w:color w:val="000000"/>
                <w:sz w:val="20"/>
                <w:szCs w:val="20"/>
                <w:lang w:eastAsia="pl-PL"/>
              </w:rPr>
              <w:t>a)</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części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dotyczącej</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niniejszego</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programu,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pacjenci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poddani</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leczeniu</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RZS</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ramach</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programów</w:t>
            </w:r>
            <w:r w:rsidR="0052643B" w:rsidRPr="004F7B25">
              <w:rPr>
                <w:rFonts w:ascii="Times New Roman" w:eastAsia="Times New Roman" w:hAnsi="Times New Roman" w:cs="Times New Roman"/>
                <w:color w:val="000000"/>
                <w:sz w:val="20"/>
                <w:szCs w:val="20"/>
                <w:lang w:eastAsia="pl-PL"/>
              </w:rPr>
              <w:t xml:space="preserve"> </w:t>
            </w:r>
            <w:r w:rsidRPr="004F7B25">
              <w:rPr>
                <w:rFonts w:ascii="Times New Roman" w:eastAsia="Times New Roman" w:hAnsi="Times New Roman" w:cs="Times New Roman"/>
                <w:color w:val="000000"/>
                <w:sz w:val="20"/>
                <w:szCs w:val="20"/>
                <w:lang w:eastAsia="pl-PL"/>
              </w:rPr>
              <w:t>lekowych:</w:t>
            </w:r>
          </w:p>
          <w:p w14:paraId="22B298D0" w14:textId="5022647F" w:rsidR="009D7AE1" w:rsidRPr="004F7B25" w:rsidRDefault="009D7AE1" w:rsidP="007F271B">
            <w:pPr>
              <w:pStyle w:val="Akapitzlist"/>
              <w:numPr>
                <w:ilvl w:val="4"/>
                <w:numId w:val="19"/>
              </w:numPr>
              <w:autoSpaceDE w:val="0"/>
              <w:autoSpaceDN w:val="0"/>
              <w:adjustRightInd w:val="0"/>
              <w:spacing w:after="60" w:line="276" w:lineRule="auto"/>
              <w:contextualSpacing w:val="0"/>
              <w:jc w:val="both"/>
              <w:rPr>
                <w:rFonts w:ascii="Times New Roman" w:hAnsi="Times New Roman" w:cs="Times New Roman"/>
                <w:sz w:val="20"/>
                <w:szCs w:val="20"/>
              </w:rPr>
            </w:pPr>
            <w:r w:rsidRPr="004F7B25">
              <w:rPr>
                <w:rFonts w:ascii="Times New Roman" w:hAnsi="Times New Roman" w:cs="Times New Roman"/>
                <w:sz w:val="20"/>
                <w:szCs w:val="20"/>
              </w:rPr>
              <w:t>jednym</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lub</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dwoma</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inhibitorami</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TNF</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alfa</w:t>
            </w:r>
            <w:r w:rsidR="0052643B" w:rsidRPr="004F7B25">
              <w:rPr>
                <w:rFonts w:ascii="Times New Roman" w:hAnsi="Times New Roman" w:cs="Times New Roman"/>
                <w:sz w:val="20"/>
                <w:szCs w:val="20"/>
              </w:rPr>
              <w:t xml:space="preserve"> </w:t>
            </w:r>
            <w:r w:rsidR="00E0197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tocilizumabem</w:t>
            </w:r>
            <w:r w:rsidR="0052643B"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proofErr w:type="spellStart"/>
            <w:r w:rsidRPr="004F7B25">
              <w:rPr>
                <w:rFonts w:ascii="Times New Roman" w:hAnsi="Times New Roman" w:cs="Times New Roman"/>
                <w:sz w:val="20"/>
                <w:szCs w:val="20"/>
              </w:rPr>
              <w:t>tofacytynibem</w:t>
            </w:r>
            <w:proofErr w:type="spellEnd"/>
            <w:r w:rsidR="0052643B"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proofErr w:type="spellStart"/>
            <w:r w:rsidR="008A07B8" w:rsidRPr="004F7B25">
              <w:rPr>
                <w:rFonts w:ascii="Times New Roman" w:hAnsi="Times New Roman" w:cs="Times New Roman"/>
                <w:sz w:val="20"/>
                <w:szCs w:val="20"/>
              </w:rPr>
              <w:t>baricytinbem</w:t>
            </w:r>
            <w:proofErr w:type="spellEnd"/>
            <w:r w:rsidR="0052643B" w:rsidRPr="00154BF9">
              <w:rPr>
                <w:rFonts w:ascii="Times New Roman" w:hAnsi="Times New Roman" w:cs="Times New Roman"/>
                <w:sz w:val="20"/>
                <w:szCs w:val="20"/>
              </w:rPr>
              <w:t xml:space="preserve"> </w:t>
            </w:r>
            <w:r w:rsidR="00D74A84" w:rsidRPr="00154BF9">
              <w:rPr>
                <w:rFonts w:ascii="Times New Roman" w:hAnsi="Times New Roman" w:cs="Times New Roman"/>
                <w:sz w:val="20"/>
                <w:szCs w:val="20"/>
              </w:rPr>
              <w:t>albo</w:t>
            </w:r>
            <w:r w:rsidR="0052643B" w:rsidRPr="00154BF9">
              <w:rPr>
                <w:rFonts w:ascii="Times New Roman" w:hAnsi="Times New Roman" w:cs="Times New Roman"/>
                <w:sz w:val="20"/>
                <w:szCs w:val="20"/>
              </w:rPr>
              <w:t xml:space="preserve"> </w:t>
            </w:r>
            <w:proofErr w:type="spellStart"/>
            <w:r w:rsidR="0024099B" w:rsidRPr="00154BF9">
              <w:rPr>
                <w:rFonts w:ascii="Times New Roman" w:hAnsi="Times New Roman" w:cs="Times New Roman"/>
                <w:sz w:val="20"/>
                <w:szCs w:val="20"/>
              </w:rPr>
              <w:t>upadacytynibem</w:t>
            </w:r>
            <w:proofErr w:type="spellEnd"/>
            <w:r w:rsidR="0052643B" w:rsidRPr="00154BF9">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2643B" w:rsidRPr="004F7B25">
              <w:rPr>
                <w:rFonts w:ascii="Times New Roman" w:hAnsi="Times New Roman" w:cs="Times New Roman"/>
                <w:sz w:val="20"/>
                <w:szCs w:val="20"/>
              </w:rPr>
              <w:t xml:space="preserve"> </w:t>
            </w:r>
            <w:proofErr w:type="spellStart"/>
            <w:r w:rsidR="005810F1" w:rsidRPr="004F7B25">
              <w:rPr>
                <w:rFonts w:ascii="Times New Roman" w:hAnsi="Times New Roman" w:cs="Times New Roman"/>
                <w:sz w:val="20"/>
                <w:szCs w:val="20"/>
              </w:rPr>
              <w:t>filgotynibem</w:t>
            </w:r>
            <w:proofErr w:type="spellEnd"/>
            <w:r w:rsidR="005810F1" w:rsidRPr="004F7B25">
              <w:rPr>
                <w:rFonts w:ascii="Times New Roman" w:hAnsi="Times New Roman" w:cs="Times New Roman"/>
                <w:sz w:val="20"/>
                <w:szCs w:val="20"/>
              </w:rPr>
              <w:t xml:space="preserve"> </w:t>
            </w:r>
            <w:r w:rsidR="00D74A84" w:rsidRPr="004F7B25">
              <w:rPr>
                <w:rFonts w:ascii="Times New Roman" w:hAnsi="Times New Roman" w:cs="Times New Roman"/>
                <w:sz w:val="20"/>
                <w:szCs w:val="20"/>
              </w:rPr>
              <w:t>albo</w:t>
            </w:r>
            <w:r w:rsidR="005810F1" w:rsidRPr="004F7B25">
              <w:rPr>
                <w:rFonts w:ascii="Times New Roman" w:hAnsi="Times New Roman" w:cs="Times New Roman"/>
                <w:sz w:val="20"/>
                <w:szCs w:val="20"/>
              </w:rPr>
              <w:t xml:space="preserve"> </w:t>
            </w:r>
            <w:proofErr w:type="spellStart"/>
            <w:r w:rsidR="00696524" w:rsidRPr="004F7B25">
              <w:rPr>
                <w:rFonts w:ascii="Times New Roman" w:hAnsi="Times New Roman" w:cs="Times New Roman"/>
                <w:sz w:val="20"/>
                <w:szCs w:val="20"/>
              </w:rPr>
              <w:t>anakinrą</w:t>
            </w:r>
            <w:proofErr w:type="spellEnd"/>
            <w:r w:rsidR="00696524" w:rsidRPr="004F7B25">
              <w:rPr>
                <w:rFonts w:ascii="Times New Roman" w:hAnsi="Times New Roman" w:cs="Times New Roman"/>
                <w:sz w:val="20"/>
                <w:szCs w:val="20"/>
              </w:rPr>
              <w:t xml:space="preserve"> </w:t>
            </w:r>
            <w:r w:rsidR="00257D3C" w:rsidRPr="00257D3C">
              <w:rPr>
                <w:rFonts w:ascii="Times New Roman" w:hAnsi="Times New Roman" w:cs="Times New Roman"/>
                <w:sz w:val="20"/>
                <w:szCs w:val="20"/>
              </w:rPr>
              <w:t xml:space="preserve">albo </w:t>
            </w:r>
            <w:proofErr w:type="spellStart"/>
            <w:r w:rsidR="00257D3C" w:rsidRPr="00257D3C">
              <w:rPr>
                <w:rFonts w:ascii="Times New Roman" w:hAnsi="Times New Roman" w:cs="Times New Roman"/>
                <w:sz w:val="20"/>
                <w:szCs w:val="20"/>
              </w:rPr>
              <w:t>kanakinumabem</w:t>
            </w:r>
            <w:proofErr w:type="spellEnd"/>
            <w:r w:rsidR="00257D3C" w:rsidRPr="00257D3C">
              <w:rPr>
                <w:rFonts w:ascii="Times New Roman" w:hAnsi="Times New Roman" w:cs="Times New Roman"/>
                <w:sz w:val="20"/>
                <w:szCs w:val="20"/>
              </w:rPr>
              <w:t xml:space="preserve"> </w:t>
            </w:r>
            <w:r w:rsidR="00696524" w:rsidRPr="004F7B25">
              <w:rPr>
                <w:rFonts w:ascii="Times New Roman" w:hAnsi="Times New Roman" w:cs="Times New Roman"/>
                <w:sz w:val="20"/>
                <w:szCs w:val="20"/>
              </w:rPr>
              <w:t>u</w:t>
            </w:r>
            <w:r w:rsidR="0052643B" w:rsidRPr="004F7B25">
              <w:rPr>
                <w:rFonts w:ascii="Times New Roman" w:hAnsi="Times New Roman" w:cs="Times New Roman"/>
                <w:sz w:val="20"/>
                <w:szCs w:val="20"/>
              </w:rPr>
              <w:t xml:space="preserve"> </w:t>
            </w:r>
            <w:r w:rsidRPr="004F7B25">
              <w:rPr>
                <w:rFonts w:ascii="Times New Roman" w:hAnsi="Times New Roman" w:cs="Times New Roman"/>
                <w:sz w:val="20"/>
                <w:szCs w:val="20"/>
              </w:rPr>
              <w:t>których:</w:t>
            </w:r>
          </w:p>
          <w:p w14:paraId="1FE77CA1" w14:textId="1E39639F"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389D22CE" w14:textId="5B8A64D0"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67F42419" w14:textId="0350FD76"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p>
          <w:p w14:paraId="7F4CF7FF" w14:textId="2C3E509D" w:rsidR="009D7AE1" w:rsidRPr="00154BF9" w:rsidRDefault="005E1332"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9D7AE1" w:rsidRPr="00154BF9">
              <w:rPr>
                <w:rFonts w:ascii="Times New Roman" w:eastAsia="Times New Roman" w:hAnsi="Times New Roman" w:cs="Times New Roman"/>
                <w:sz w:val="20"/>
                <w:szCs w:val="20"/>
                <w:lang w:eastAsia="pl-PL"/>
              </w:rPr>
              <w:t>ub</w:t>
            </w:r>
          </w:p>
          <w:p w14:paraId="46D2F68F" w14:textId="1E7E8086"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2649AEC8" w14:textId="7B35E29E"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tylko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kiedy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dostępnej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wiedzy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uniknąć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stosując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p>
          <w:p w14:paraId="73C2F888" w14:textId="1C6500C6"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20C0C343" w14:textId="746A8366"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19C57D5C" w14:textId="6A524659"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5811B8FC" w14:textId="27F66F39"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4866E0F4" w14:textId="3AF26F9E"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2DD0C2C3" w14:textId="0E19CF95"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3CCC8FAD" w14:textId="42AEDE98"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0EB0BBB7" w14:textId="3B59EC23"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p>
          <w:p w14:paraId="2D1E031E" w14:textId="1E828CA8"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tofacytynibem</w:t>
            </w:r>
            <w:proofErr w:type="spellEnd"/>
            <w:r w:rsidR="00696524" w:rsidRPr="00154BF9">
              <w:rPr>
                <w:rFonts w:ascii="Times New Roman" w:eastAsia="Times New Roman" w:hAnsi="Times New Roman" w:cs="Times New Roman"/>
                <w:sz w:val="20"/>
                <w:szCs w:val="20"/>
                <w:lang w:eastAsia="pl-PL"/>
              </w:rPr>
              <w:t xml:space="preserve"> </w:t>
            </w:r>
            <w:r w:rsidR="00696524" w:rsidRPr="00EC7B60">
              <w:rPr>
                <w:rFonts w:ascii="Times New Roman" w:hAnsi="Times New Roman" w:cs="Times New Roman"/>
                <w:sz w:val="20"/>
                <w:szCs w:val="20"/>
              </w:rPr>
              <w:t>albo</w:t>
            </w:r>
            <w:r w:rsidR="00D74A84" w:rsidRPr="007E04C3">
              <w:rPr>
                <w:rFonts w:ascii="Times New Roman" w:eastAsia="Times New Roman" w:hAnsi="Times New Roman" w:cs="Times New Roman"/>
                <w:sz w:val="20"/>
                <w:szCs w:val="20"/>
                <w:lang w:eastAsia="pl-PL"/>
              </w:rPr>
              <w:t xml:space="preserve"> </w:t>
            </w:r>
            <w:proofErr w:type="spellStart"/>
            <w:r w:rsidR="00EA4A2E" w:rsidRPr="007E04C3">
              <w:rPr>
                <w:rFonts w:ascii="Times New Roman" w:eastAsia="Times New Roman" w:hAnsi="Times New Roman" w:cs="Times New Roman"/>
                <w:sz w:val="20"/>
                <w:szCs w:val="20"/>
                <w:lang w:eastAsia="pl-PL"/>
              </w:rPr>
              <w:t>baricytynibem</w:t>
            </w:r>
            <w:proofErr w:type="spellEnd"/>
            <w:r w:rsidR="00EA4A2E" w:rsidRPr="007E04C3">
              <w:rPr>
                <w:rFonts w:ascii="Times New Roman" w:eastAsia="Times New Roman" w:hAnsi="Times New Roman" w:cs="Times New Roman"/>
                <w:sz w:val="20"/>
                <w:szCs w:val="20"/>
                <w:lang w:eastAsia="pl-PL"/>
              </w:rPr>
              <w:t xml:space="preserve"> </w:t>
            </w:r>
            <w:r w:rsidR="00EA4A2E" w:rsidRPr="00EC7B60">
              <w:rPr>
                <w:rFonts w:ascii="Times New Roman" w:hAnsi="Times New Roman" w:cs="Times New Roman"/>
                <w:sz w:val="20"/>
                <w:szCs w:val="20"/>
              </w:rPr>
              <w:t>albo</w:t>
            </w:r>
            <w:r w:rsidR="0052643B" w:rsidRPr="007E04C3">
              <w:rPr>
                <w:rFonts w:ascii="Times New Roman" w:eastAsia="Times New Roman" w:hAnsi="Times New Roman" w:cs="Times New Roman"/>
                <w:sz w:val="20"/>
                <w:szCs w:val="20"/>
                <w:lang w:eastAsia="pl-PL"/>
              </w:rPr>
              <w:t xml:space="preserve"> </w:t>
            </w:r>
            <w:proofErr w:type="spellStart"/>
            <w:r w:rsidR="00EA4A2E" w:rsidRPr="007E04C3">
              <w:rPr>
                <w:rFonts w:ascii="Times New Roman" w:eastAsia="Times New Roman" w:hAnsi="Times New Roman" w:cs="Times New Roman"/>
                <w:sz w:val="20"/>
                <w:szCs w:val="20"/>
                <w:lang w:eastAsia="pl-PL"/>
              </w:rPr>
              <w:t>upadacytynibem</w:t>
            </w:r>
            <w:proofErr w:type="spellEnd"/>
            <w:r w:rsidR="00EA4A2E" w:rsidRPr="007E04C3">
              <w:rPr>
                <w:rFonts w:ascii="Times New Roman" w:hAnsi="Times New Roman" w:cs="Times New Roman"/>
                <w:sz w:val="20"/>
                <w:szCs w:val="20"/>
              </w:rPr>
              <w:t xml:space="preserve"> </w:t>
            </w:r>
            <w:r w:rsidR="00EA4A2E" w:rsidRPr="00EC7B60">
              <w:rPr>
                <w:rFonts w:ascii="Times New Roman" w:hAnsi="Times New Roman" w:cs="Times New Roman"/>
                <w:sz w:val="20"/>
                <w:szCs w:val="20"/>
              </w:rPr>
              <w:t>albo</w:t>
            </w:r>
            <w:r w:rsidR="00D74A84"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filgotynibem</w:t>
            </w:r>
            <w:proofErr w:type="spellEnd"/>
            <w:r w:rsidR="00EA4A2E" w:rsidRPr="00154BF9">
              <w:rPr>
                <w:rFonts w:ascii="Times New Roman" w:eastAsia="Times New Roman" w:hAnsi="Times New Roman" w:cs="Times New Roman"/>
                <w:sz w:val="20"/>
                <w:szCs w:val="20"/>
                <w:lang w:eastAsia="pl-PL"/>
              </w:rPr>
              <w:t xml:space="preserve"> </w:t>
            </w:r>
            <w:r w:rsidR="00EA4A2E" w:rsidRPr="00EC7B60">
              <w:rPr>
                <w:rFonts w:ascii="Times New Roman" w:hAnsi="Times New Roman" w:cs="Times New Roman"/>
                <w:sz w:val="20"/>
                <w:szCs w:val="20"/>
              </w:rPr>
              <w:t>albo</w:t>
            </w:r>
            <w:r w:rsidR="00D74A84" w:rsidRPr="007E04C3">
              <w:rPr>
                <w:rFonts w:ascii="Times New Roman" w:eastAsia="Times New Roman" w:hAnsi="Times New Roman" w:cs="Times New Roman"/>
                <w:sz w:val="20"/>
                <w:szCs w:val="20"/>
                <w:lang w:eastAsia="pl-PL"/>
              </w:rPr>
              <w:t xml:space="preserve"> </w:t>
            </w:r>
            <w:proofErr w:type="spellStart"/>
            <w:r w:rsidR="000D7B59" w:rsidRPr="007E04C3">
              <w:rPr>
                <w:rFonts w:ascii="Times New Roman" w:eastAsia="Times New Roman" w:hAnsi="Times New Roman" w:cs="Times New Roman"/>
                <w:sz w:val="20"/>
                <w:szCs w:val="20"/>
                <w:lang w:eastAsia="pl-PL"/>
              </w:rPr>
              <w:t>anakinr</w:t>
            </w:r>
            <w:r w:rsidR="000D7B59" w:rsidRPr="00154BF9">
              <w:rPr>
                <w:rFonts w:ascii="Times New Roman" w:eastAsia="Times New Roman" w:hAnsi="Times New Roman" w:cs="Times New Roman"/>
                <w:sz w:val="20"/>
                <w:szCs w:val="20"/>
                <w:lang w:eastAsia="pl-PL"/>
              </w:rPr>
              <w:t>ą</w:t>
            </w:r>
            <w:proofErr w:type="spellEnd"/>
            <w:r w:rsidR="000D7B59" w:rsidRPr="00154BF9">
              <w:rPr>
                <w:rFonts w:ascii="Times New Roman" w:eastAsia="Times New Roman" w:hAnsi="Times New Roman" w:cs="Times New Roman"/>
                <w:sz w:val="20"/>
                <w:szCs w:val="20"/>
                <w:lang w:eastAsia="pl-PL"/>
              </w:rPr>
              <w:t xml:space="preserve"> </w:t>
            </w:r>
            <w:r w:rsidR="007E04C3" w:rsidRPr="007E04C3">
              <w:rPr>
                <w:rFonts w:ascii="Times New Roman" w:eastAsia="Times New Roman" w:hAnsi="Times New Roman" w:cs="Times New Roman"/>
                <w:sz w:val="20"/>
                <w:szCs w:val="20"/>
                <w:lang w:eastAsia="pl-PL"/>
              </w:rPr>
              <w:t xml:space="preserve">albo </w:t>
            </w:r>
            <w:proofErr w:type="spellStart"/>
            <w:r w:rsidR="007E04C3" w:rsidRPr="007E04C3">
              <w:rPr>
                <w:rFonts w:ascii="Times New Roman" w:eastAsia="Times New Roman" w:hAnsi="Times New Roman" w:cs="Times New Roman"/>
                <w:sz w:val="20"/>
                <w:szCs w:val="20"/>
                <w:lang w:eastAsia="pl-PL"/>
              </w:rPr>
              <w:t>kanakinumabem</w:t>
            </w:r>
            <w:proofErr w:type="spellEnd"/>
            <w:r w:rsidR="007E04C3" w:rsidRPr="007E04C3">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78BF505" w14:textId="726CC2C0"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736A731B" w14:textId="0B2C3CFC"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7500491C" w14:textId="6FC1A9D9"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p>
          <w:p w14:paraId="55CED183" w14:textId="4F43BEEC"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A486E6B" w14:textId="6079B1F9"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7C10B49" w14:textId="3B056E77"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06831F75" w14:textId="5014DA75"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53DAD8A5" w14:textId="6608E2B8" w:rsidR="009D7AE1" w:rsidRPr="00154BF9" w:rsidRDefault="00F02D07"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9D7AE1" w:rsidRPr="00154BF9">
              <w:rPr>
                <w:rFonts w:ascii="Times New Roman" w:eastAsia="Times New Roman" w:hAnsi="Times New Roman" w:cs="Times New Roman"/>
                <w:sz w:val="20"/>
                <w:szCs w:val="20"/>
                <w:lang w:eastAsia="pl-PL"/>
              </w:rPr>
              <w:t>ub</w:t>
            </w:r>
            <w:r w:rsidR="0052643B" w:rsidRPr="00154BF9">
              <w:rPr>
                <w:rFonts w:ascii="Times New Roman" w:eastAsia="Times New Roman" w:hAnsi="Times New Roman" w:cs="Times New Roman"/>
                <w:sz w:val="20"/>
                <w:szCs w:val="20"/>
                <w:lang w:eastAsia="pl-PL"/>
              </w:rPr>
              <w:t xml:space="preserve"> </w:t>
            </w:r>
          </w:p>
          <w:p w14:paraId="7EEE4788" w14:textId="4C574128"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p>
          <w:p w14:paraId="0DB605B7" w14:textId="6F5A86B2"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B05F3CE" w14:textId="0CAA4B56"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E66F3C3" w14:textId="3FB9EF55"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5EA25615" w14:textId="2DB42472"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14CD4018" w14:textId="527646AF"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F36BF9"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albo</w:t>
            </w:r>
            <w:r w:rsidR="00F36BF9" w:rsidRPr="00154BF9">
              <w:rPr>
                <w:rFonts w:ascii="Times New Roman" w:eastAsia="Times New Roman" w:hAnsi="Times New Roman" w:cs="Times New Roman"/>
                <w:sz w:val="20"/>
                <w:szCs w:val="20"/>
                <w:lang w:eastAsia="pl-PL"/>
              </w:rPr>
              <w:t xml:space="preserve"> </w:t>
            </w:r>
            <w:proofErr w:type="spellStart"/>
            <w:r w:rsidR="004A5FF5" w:rsidRPr="00154BF9">
              <w:rPr>
                <w:rFonts w:ascii="Times New Roman" w:eastAsia="Times New Roman" w:hAnsi="Times New Roman" w:cs="Times New Roman"/>
                <w:sz w:val="20"/>
                <w:szCs w:val="20"/>
                <w:lang w:eastAsia="pl-PL"/>
              </w:rPr>
              <w:t>baricytynibem</w:t>
            </w:r>
            <w:proofErr w:type="spellEnd"/>
            <w:r w:rsidR="00F36BF9" w:rsidRPr="00154BF9">
              <w:rPr>
                <w:rFonts w:ascii="Times New Roman" w:hAnsi="Times New Roman" w:cs="Times New Roman"/>
                <w:sz w:val="20"/>
                <w:szCs w:val="20"/>
              </w:rPr>
              <w:t xml:space="preserve"> </w:t>
            </w:r>
            <w:r w:rsidR="00D74A84" w:rsidRPr="00154BF9">
              <w:rPr>
                <w:rFonts w:ascii="Times New Roman" w:hAnsi="Times New Roman" w:cs="Times New Roman"/>
                <w:sz w:val="20"/>
                <w:szCs w:val="20"/>
              </w:rPr>
              <w:t>albo</w:t>
            </w:r>
            <w:r w:rsidR="00F36BF9" w:rsidRPr="00154BF9">
              <w:rPr>
                <w:rFonts w:ascii="Times New Roman" w:hAnsi="Times New Roman" w:cs="Times New Roman"/>
                <w:sz w:val="20"/>
                <w:szCs w:val="20"/>
              </w:rPr>
              <w:t xml:space="preserve"> </w:t>
            </w:r>
            <w:proofErr w:type="spellStart"/>
            <w:r w:rsidR="00B96557" w:rsidRPr="00154BF9">
              <w:rPr>
                <w:rFonts w:ascii="Times New Roman" w:hAnsi="Times New Roman" w:cs="Times New Roman"/>
                <w:sz w:val="20"/>
                <w:szCs w:val="20"/>
              </w:rPr>
              <w:t>upadacytynibem</w:t>
            </w:r>
            <w:proofErr w:type="spellEnd"/>
            <w:r w:rsidR="00F36BF9" w:rsidRPr="00154BF9">
              <w:rPr>
                <w:rFonts w:ascii="Times New Roman" w:hAnsi="Times New Roman" w:cs="Times New Roman"/>
                <w:sz w:val="20"/>
                <w:szCs w:val="20"/>
              </w:rPr>
              <w:t xml:space="preserve"> </w:t>
            </w:r>
            <w:r w:rsidR="00696524" w:rsidRPr="00154BF9">
              <w:rPr>
                <w:rFonts w:ascii="Times New Roman" w:eastAsia="Times New Roman" w:hAnsi="Times New Roman" w:cs="Times New Roman"/>
                <w:sz w:val="20"/>
                <w:szCs w:val="20"/>
                <w:lang w:eastAsia="pl-PL"/>
              </w:rPr>
              <w:t xml:space="preserve">albo </w:t>
            </w:r>
            <w:proofErr w:type="spellStart"/>
            <w:r w:rsidR="00696524" w:rsidRPr="00154BF9">
              <w:rPr>
                <w:rFonts w:ascii="Times New Roman" w:eastAsia="Times New Roman" w:hAnsi="Times New Roman" w:cs="Times New Roman"/>
                <w:sz w:val="20"/>
                <w:szCs w:val="20"/>
                <w:lang w:eastAsia="pl-PL"/>
              </w:rPr>
              <w:t>filgotynibem</w:t>
            </w:r>
            <w:proofErr w:type="spellEnd"/>
            <w:r w:rsidR="00F36BF9" w:rsidRPr="00154BF9">
              <w:rPr>
                <w:rFonts w:ascii="Times New Roman" w:eastAsia="Times New Roman" w:hAnsi="Times New Roman" w:cs="Times New Roman"/>
                <w:sz w:val="20"/>
                <w:szCs w:val="20"/>
                <w:lang w:eastAsia="pl-PL"/>
              </w:rPr>
              <w:t xml:space="preserve"> </w:t>
            </w:r>
            <w:r w:rsidR="00D74A84" w:rsidRPr="00154BF9">
              <w:rPr>
                <w:rFonts w:ascii="Times New Roman" w:eastAsia="Times New Roman" w:hAnsi="Times New Roman" w:cs="Times New Roman"/>
                <w:sz w:val="20"/>
                <w:szCs w:val="20"/>
                <w:lang w:eastAsia="pl-PL"/>
              </w:rPr>
              <w:t xml:space="preserve">albo </w:t>
            </w:r>
            <w:proofErr w:type="spellStart"/>
            <w:r w:rsidR="00EA4A2E" w:rsidRPr="00154BF9">
              <w:rPr>
                <w:rFonts w:ascii="Times New Roman" w:eastAsia="Times New Roman" w:hAnsi="Times New Roman" w:cs="Times New Roman"/>
                <w:sz w:val="20"/>
                <w:szCs w:val="20"/>
                <w:lang w:eastAsia="pl-PL"/>
              </w:rPr>
              <w:t>anakinrą</w:t>
            </w:r>
            <w:proofErr w:type="spellEnd"/>
            <w:r w:rsidR="00EA4A2E" w:rsidRPr="00154BF9">
              <w:rPr>
                <w:rFonts w:ascii="Times New Roman" w:eastAsia="Times New Roman" w:hAnsi="Times New Roman" w:cs="Times New Roman"/>
                <w:sz w:val="20"/>
                <w:szCs w:val="20"/>
                <w:lang w:eastAsia="pl-PL"/>
              </w:rPr>
              <w:t xml:space="preserve"> </w:t>
            </w:r>
            <w:r w:rsidR="00065C0C" w:rsidRPr="00065C0C">
              <w:rPr>
                <w:rFonts w:ascii="Times New Roman" w:eastAsia="Times New Roman" w:hAnsi="Times New Roman" w:cs="Times New Roman"/>
                <w:sz w:val="20"/>
                <w:szCs w:val="20"/>
                <w:lang w:eastAsia="pl-PL"/>
              </w:rPr>
              <w:t xml:space="preserve">albo </w:t>
            </w:r>
            <w:proofErr w:type="spellStart"/>
            <w:r w:rsidR="00065C0C" w:rsidRPr="00065C0C">
              <w:rPr>
                <w:rFonts w:ascii="Times New Roman" w:eastAsia="Times New Roman" w:hAnsi="Times New Roman" w:cs="Times New Roman"/>
                <w:sz w:val="20"/>
                <w:szCs w:val="20"/>
                <w:lang w:eastAsia="pl-PL"/>
              </w:rPr>
              <w:t>kanakinumabem</w:t>
            </w:r>
            <w:proofErr w:type="spellEnd"/>
            <w:r w:rsidR="00065C0C" w:rsidRPr="00065C0C">
              <w:rPr>
                <w:rFonts w:ascii="Times New Roman" w:eastAsia="Times New Roman" w:hAnsi="Times New Roman" w:cs="Times New Roman"/>
                <w:sz w:val="20"/>
                <w:szCs w:val="20"/>
                <w:lang w:eastAsia="pl-PL"/>
              </w:rPr>
              <w:t xml:space="preserve"> </w:t>
            </w:r>
            <w:r w:rsidR="00EA4A2E" w:rsidRPr="00EC7B60">
              <w:rPr>
                <w:rFonts w:ascii="Times New Roman" w:hAnsi="Times New Roman" w:cs="Times New Roman"/>
                <w:sz w:val="20"/>
                <w:szCs w:val="20"/>
              </w:rPr>
              <w:t>u</w:t>
            </w:r>
            <w:r w:rsidR="0052643B" w:rsidRPr="00065C0C">
              <w:rPr>
                <w:rFonts w:ascii="Times New Roman" w:eastAsia="Times New Roman" w:hAnsi="Times New Roman" w:cs="Times New Roman"/>
                <w:sz w:val="20"/>
                <w:szCs w:val="20"/>
                <w:lang w:eastAsia="pl-PL"/>
              </w:rPr>
              <w:t xml:space="preserve"> </w:t>
            </w:r>
            <w:r w:rsidRPr="00065C0C">
              <w:rPr>
                <w:rFonts w:ascii="Times New Roman" w:eastAsia="Times New Roman" w:hAnsi="Times New Roman" w:cs="Times New Roman"/>
                <w:sz w:val="20"/>
                <w:szCs w:val="20"/>
                <w:lang w:eastAsia="pl-PL"/>
              </w:rPr>
              <w:t>których</w:t>
            </w:r>
            <w:r w:rsidRPr="00154BF9">
              <w:rPr>
                <w:rFonts w:ascii="Times New Roman" w:eastAsia="Times New Roman" w:hAnsi="Times New Roman" w:cs="Times New Roman"/>
                <w:sz w:val="20"/>
                <w:szCs w:val="20"/>
                <w:lang w:eastAsia="pl-PL"/>
              </w:rPr>
              <w:t>:</w:t>
            </w:r>
          </w:p>
          <w:p w14:paraId="76BDF354" w14:textId="6B032291"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212091BE" w14:textId="5211AC3F"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lub</w:t>
            </w:r>
            <w:r w:rsidR="0052643B" w:rsidRPr="00154BF9">
              <w:rPr>
                <w:rFonts w:ascii="Times New Roman" w:eastAsia="Times New Roman" w:hAnsi="Times New Roman" w:cs="Times New Roman"/>
                <w:sz w:val="20"/>
                <w:szCs w:val="20"/>
                <w:lang w:eastAsia="pl-PL"/>
              </w:rPr>
              <w:t xml:space="preserve"> </w:t>
            </w:r>
          </w:p>
          <w:p w14:paraId="05B57CD6" w14:textId="06BCA57D"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p>
          <w:p w14:paraId="7983E243" w14:textId="702CE762"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38C260A" w14:textId="330A985F"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29C37A8" w14:textId="20CB64F0"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7E1002B1" w14:textId="115ABDC9"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9D2AF5"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F36BF9" w:rsidRPr="00154BF9">
              <w:rPr>
                <w:rFonts w:ascii="Times New Roman" w:eastAsia="Times New Roman" w:hAnsi="Times New Roman" w:cs="Times New Roman"/>
                <w:sz w:val="20"/>
                <w:szCs w:val="20"/>
                <w:lang w:eastAsia="pl-PL"/>
              </w:rPr>
              <w:t xml:space="preserve">albo </w:t>
            </w:r>
            <w:proofErr w:type="spellStart"/>
            <w:r w:rsidR="009D2AF5"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hAnsi="Times New Roman" w:cs="Times New Roman"/>
                <w:sz w:val="20"/>
                <w:szCs w:val="20"/>
              </w:rPr>
              <w:t xml:space="preserve"> </w:t>
            </w:r>
            <w:r w:rsidR="00F36BF9" w:rsidRPr="00154BF9">
              <w:rPr>
                <w:rFonts w:ascii="Times New Roman" w:hAnsi="Times New Roman" w:cs="Times New Roman"/>
                <w:sz w:val="20"/>
                <w:szCs w:val="20"/>
              </w:rPr>
              <w:t xml:space="preserve">albo </w:t>
            </w:r>
            <w:proofErr w:type="spellStart"/>
            <w:r w:rsidR="00B96557" w:rsidRPr="00154BF9">
              <w:rPr>
                <w:rFonts w:ascii="Times New Roman" w:hAnsi="Times New Roman" w:cs="Times New Roman"/>
                <w:sz w:val="20"/>
                <w:szCs w:val="20"/>
              </w:rPr>
              <w:t>upadacytynibem</w:t>
            </w:r>
            <w:proofErr w:type="spellEnd"/>
            <w:r w:rsidR="00F36BF9" w:rsidRPr="00154BF9">
              <w:rPr>
                <w:rFonts w:ascii="Times New Roman" w:hAnsi="Times New Roman" w:cs="Times New Roman"/>
                <w:sz w:val="20"/>
                <w:szCs w:val="20"/>
              </w:rPr>
              <w:t xml:space="preserve"> </w:t>
            </w:r>
            <w:r w:rsidR="00F36BF9" w:rsidRPr="00154BF9">
              <w:rPr>
                <w:rFonts w:ascii="Times New Roman" w:eastAsia="Times New Roman" w:hAnsi="Times New Roman" w:cs="Times New Roman"/>
                <w:sz w:val="20"/>
                <w:szCs w:val="20"/>
                <w:lang w:eastAsia="pl-PL"/>
              </w:rPr>
              <w:t xml:space="preserve">albo </w:t>
            </w:r>
            <w:proofErr w:type="spellStart"/>
            <w:r w:rsidR="000D7B59" w:rsidRPr="00154BF9">
              <w:rPr>
                <w:rFonts w:ascii="Times New Roman" w:eastAsia="Times New Roman" w:hAnsi="Times New Roman" w:cs="Times New Roman"/>
                <w:sz w:val="20"/>
                <w:szCs w:val="20"/>
                <w:lang w:eastAsia="pl-PL"/>
              </w:rPr>
              <w:t>filgotynibem</w:t>
            </w:r>
            <w:proofErr w:type="spellEnd"/>
            <w:r w:rsidR="00F36BF9" w:rsidRPr="00154BF9">
              <w:rPr>
                <w:rFonts w:ascii="Times New Roman" w:eastAsia="Times New Roman" w:hAnsi="Times New Roman" w:cs="Times New Roman"/>
                <w:sz w:val="20"/>
                <w:szCs w:val="20"/>
                <w:lang w:eastAsia="pl-PL"/>
              </w:rPr>
              <w:t xml:space="preserve"> albo </w:t>
            </w:r>
            <w:proofErr w:type="spellStart"/>
            <w:r w:rsidR="00696524" w:rsidRPr="00154BF9">
              <w:rPr>
                <w:rFonts w:ascii="Times New Roman" w:eastAsia="Times New Roman" w:hAnsi="Times New Roman" w:cs="Times New Roman"/>
                <w:sz w:val="20"/>
                <w:szCs w:val="20"/>
                <w:lang w:eastAsia="pl-PL"/>
              </w:rPr>
              <w:t>anakinrą</w:t>
            </w:r>
            <w:proofErr w:type="spellEnd"/>
            <w:r w:rsidR="00696524" w:rsidRPr="00154BF9">
              <w:rPr>
                <w:rFonts w:ascii="Times New Roman" w:eastAsia="Times New Roman" w:hAnsi="Times New Roman" w:cs="Times New Roman"/>
                <w:sz w:val="20"/>
                <w:szCs w:val="20"/>
                <w:lang w:eastAsia="pl-PL"/>
              </w:rPr>
              <w:t xml:space="preserve"> </w:t>
            </w:r>
            <w:r w:rsidR="00067F48" w:rsidRPr="00067F48">
              <w:rPr>
                <w:rFonts w:ascii="Times New Roman" w:eastAsia="Times New Roman" w:hAnsi="Times New Roman" w:cs="Times New Roman"/>
                <w:sz w:val="20"/>
                <w:szCs w:val="20"/>
                <w:lang w:eastAsia="pl-PL"/>
              </w:rPr>
              <w:t xml:space="preserve">albo </w:t>
            </w:r>
            <w:proofErr w:type="spellStart"/>
            <w:r w:rsidR="00067F48" w:rsidRPr="00067F48">
              <w:rPr>
                <w:rFonts w:ascii="Times New Roman" w:eastAsia="Times New Roman" w:hAnsi="Times New Roman" w:cs="Times New Roman"/>
                <w:sz w:val="20"/>
                <w:szCs w:val="20"/>
                <w:lang w:eastAsia="pl-PL"/>
              </w:rPr>
              <w:t>kanakinumabem</w:t>
            </w:r>
            <w:proofErr w:type="spellEnd"/>
            <w:r w:rsidR="00067F48" w:rsidRPr="00067F48">
              <w:rPr>
                <w:rFonts w:ascii="Times New Roman" w:eastAsia="Times New Roman" w:hAnsi="Times New Roman" w:cs="Times New Roman"/>
                <w:sz w:val="20"/>
                <w:szCs w:val="20"/>
                <w:lang w:eastAsia="pl-PL"/>
              </w:rPr>
              <w:t xml:space="preserve"> </w:t>
            </w:r>
            <w:r w:rsidR="00696524" w:rsidRPr="00EC7B60">
              <w:rPr>
                <w:rFonts w:ascii="Times New Roman" w:hAnsi="Times New Roman" w:cs="Times New Roman"/>
                <w:sz w:val="20"/>
                <w:szCs w:val="20"/>
              </w:rPr>
              <w:t>u</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których</w:t>
            </w:r>
            <w:r w:rsidRPr="00154BF9">
              <w:rPr>
                <w:rFonts w:ascii="Times New Roman" w:eastAsia="Times New Roman" w:hAnsi="Times New Roman" w:cs="Times New Roman"/>
                <w:sz w:val="20"/>
                <w:szCs w:val="20"/>
                <w:lang w:eastAsia="pl-PL"/>
              </w:rPr>
              <w:t>:</w:t>
            </w:r>
          </w:p>
          <w:p w14:paraId="1C649A39" w14:textId="10ECDC60"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47443843" w14:textId="474C14D7"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139C5F7C" w14:textId="6A37E676" w:rsidR="00A857A0"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p>
          <w:p w14:paraId="1F2F34D7" w14:textId="5A7D4A68" w:rsidR="009D7AE1" w:rsidRPr="00154BF9" w:rsidRDefault="009D7AE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710ACF0E" w14:textId="1B582327" w:rsidR="009D7AE1" w:rsidRPr="00154BF9" w:rsidRDefault="009D7AE1"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46B639B5" w14:textId="34EDB6BE" w:rsidR="005441A9"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22C13A2D" w14:textId="3C2AB3AF" w:rsidR="008C0EA1" w:rsidRPr="00154BF9" w:rsidRDefault="008C0EA1"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69E1A816" w14:textId="612F76B3" w:rsidR="008C0EA1" w:rsidRPr="00067F48" w:rsidRDefault="008C0EA1" w:rsidP="007F271B">
            <w:pPr>
              <w:pStyle w:val="Akapitzlist"/>
              <w:numPr>
                <w:ilvl w:val="4"/>
                <w:numId w:val="19"/>
              </w:numPr>
              <w:spacing w:after="60" w:line="276" w:lineRule="auto"/>
              <w:contextualSpacing w:val="0"/>
              <w:jc w:val="both"/>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jednym,</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dwoma</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lub</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trzema</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inhibitorami</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TNF</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alfa</w:t>
            </w:r>
            <w:r w:rsidR="00507204" w:rsidRPr="00067F48">
              <w:rPr>
                <w:rFonts w:ascii="Times New Roman" w:eastAsia="Times New Roman" w:hAnsi="Times New Roman" w:cs="Times New Roman"/>
                <w:sz w:val="20"/>
                <w:szCs w:val="20"/>
                <w:lang w:eastAsia="pl-PL"/>
              </w:rPr>
              <w:t xml:space="preserve"> albo </w:t>
            </w:r>
            <w:r w:rsidR="00696524" w:rsidRPr="00067F48">
              <w:rPr>
                <w:rFonts w:ascii="Times New Roman" w:eastAsia="Times New Roman" w:hAnsi="Times New Roman" w:cs="Times New Roman"/>
                <w:sz w:val="20"/>
                <w:szCs w:val="20"/>
                <w:lang w:eastAsia="pl-PL"/>
              </w:rPr>
              <w:t xml:space="preserve">tocilizumabem </w:t>
            </w:r>
            <w:r w:rsidR="00696524" w:rsidRPr="00EC7B60">
              <w:rPr>
                <w:rFonts w:ascii="Times New Roman" w:hAnsi="Times New Roman" w:cs="Times New Roman"/>
                <w:sz w:val="20"/>
                <w:szCs w:val="20"/>
              </w:rPr>
              <w:t>albo</w:t>
            </w:r>
            <w:r w:rsidR="0052643B" w:rsidRPr="00067F48">
              <w:rPr>
                <w:rFonts w:ascii="Times New Roman" w:eastAsia="Times New Roman" w:hAnsi="Times New Roman" w:cs="Times New Roman"/>
                <w:sz w:val="20"/>
                <w:szCs w:val="20"/>
                <w:lang w:eastAsia="pl-PL"/>
              </w:rPr>
              <w:t xml:space="preserve"> </w:t>
            </w:r>
            <w:proofErr w:type="spellStart"/>
            <w:r w:rsidRPr="00067F48">
              <w:rPr>
                <w:rFonts w:ascii="Times New Roman" w:eastAsia="Times New Roman" w:hAnsi="Times New Roman" w:cs="Times New Roman"/>
                <w:sz w:val="20"/>
                <w:szCs w:val="20"/>
                <w:lang w:eastAsia="pl-PL"/>
              </w:rPr>
              <w:t>rytuksymabem</w:t>
            </w:r>
            <w:proofErr w:type="spellEnd"/>
            <w:r w:rsidR="0052643B" w:rsidRPr="00067F48">
              <w:rPr>
                <w:rFonts w:ascii="Times New Roman" w:eastAsia="Times New Roman" w:hAnsi="Times New Roman" w:cs="Times New Roman"/>
                <w:sz w:val="20"/>
                <w:szCs w:val="20"/>
                <w:lang w:eastAsia="pl-PL"/>
              </w:rPr>
              <w:t xml:space="preserve"> </w:t>
            </w:r>
            <w:r w:rsidR="00507204" w:rsidRPr="00067F48">
              <w:rPr>
                <w:rFonts w:ascii="Times New Roman" w:eastAsia="Times New Roman" w:hAnsi="Times New Roman" w:cs="Times New Roman"/>
                <w:sz w:val="20"/>
                <w:szCs w:val="20"/>
                <w:lang w:eastAsia="pl-PL"/>
              </w:rPr>
              <w:t>albo</w:t>
            </w:r>
            <w:r w:rsidR="0052643B" w:rsidRPr="00067F48">
              <w:rPr>
                <w:rFonts w:ascii="Times New Roman" w:eastAsia="Times New Roman" w:hAnsi="Times New Roman" w:cs="Times New Roman"/>
                <w:sz w:val="20"/>
                <w:szCs w:val="20"/>
                <w:lang w:eastAsia="pl-PL"/>
              </w:rPr>
              <w:t xml:space="preserve"> </w:t>
            </w:r>
            <w:proofErr w:type="spellStart"/>
            <w:r w:rsidRPr="00067F48">
              <w:rPr>
                <w:rFonts w:ascii="Times New Roman" w:eastAsia="Times New Roman" w:hAnsi="Times New Roman" w:cs="Times New Roman"/>
                <w:sz w:val="20"/>
                <w:szCs w:val="20"/>
                <w:lang w:eastAsia="pl-PL"/>
              </w:rPr>
              <w:t>tofacytynibem</w:t>
            </w:r>
            <w:proofErr w:type="spellEnd"/>
            <w:r w:rsidR="0052643B" w:rsidRPr="00067F48">
              <w:rPr>
                <w:rFonts w:ascii="Times New Roman" w:eastAsia="Times New Roman" w:hAnsi="Times New Roman" w:cs="Times New Roman"/>
                <w:sz w:val="20"/>
                <w:szCs w:val="20"/>
                <w:lang w:eastAsia="pl-PL"/>
              </w:rPr>
              <w:t xml:space="preserve"> </w:t>
            </w:r>
            <w:r w:rsidR="00507204" w:rsidRPr="00067F48">
              <w:rPr>
                <w:rFonts w:ascii="Times New Roman" w:eastAsia="Times New Roman" w:hAnsi="Times New Roman" w:cs="Times New Roman"/>
                <w:sz w:val="20"/>
                <w:szCs w:val="20"/>
                <w:lang w:eastAsia="pl-PL"/>
              </w:rPr>
              <w:t>albo</w:t>
            </w:r>
            <w:r w:rsidR="0052643B" w:rsidRPr="00067F48">
              <w:rPr>
                <w:rFonts w:ascii="Times New Roman" w:eastAsia="Times New Roman" w:hAnsi="Times New Roman" w:cs="Times New Roman"/>
                <w:sz w:val="20"/>
                <w:szCs w:val="20"/>
                <w:lang w:eastAsia="pl-PL"/>
              </w:rPr>
              <w:t xml:space="preserve"> </w:t>
            </w:r>
            <w:proofErr w:type="spellStart"/>
            <w:r w:rsidR="00B96557" w:rsidRPr="00067F48">
              <w:rPr>
                <w:rFonts w:ascii="Times New Roman" w:eastAsia="Times New Roman" w:hAnsi="Times New Roman" w:cs="Times New Roman"/>
                <w:sz w:val="20"/>
                <w:szCs w:val="20"/>
                <w:lang w:eastAsia="pl-PL"/>
              </w:rPr>
              <w:t>upadacytynibem</w:t>
            </w:r>
            <w:proofErr w:type="spellEnd"/>
            <w:r w:rsidR="0052643B" w:rsidRPr="00067F48">
              <w:rPr>
                <w:rFonts w:ascii="Times New Roman" w:eastAsia="Times New Roman" w:hAnsi="Times New Roman" w:cs="Times New Roman"/>
                <w:sz w:val="20"/>
                <w:szCs w:val="20"/>
                <w:lang w:eastAsia="pl-PL"/>
              </w:rPr>
              <w:t xml:space="preserve"> </w:t>
            </w:r>
            <w:r w:rsidR="00507204" w:rsidRPr="00067F48">
              <w:rPr>
                <w:rFonts w:ascii="Times New Roman" w:eastAsia="Times New Roman" w:hAnsi="Times New Roman" w:cs="Times New Roman"/>
                <w:sz w:val="20"/>
                <w:szCs w:val="20"/>
                <w:lang w:eastAsia="pl-PL"/>
              </w:rPr>
              <w:t>albo</w:t>
            </w:r>
            <w:r w:rsidR="0052643B" w:rsidRPr="00067F48">
              <w:rPr>
                <w:rFonts w:ascii="Times New Roman" w:eastAsia="Times New Roman" w:hAnsi="Times New Roman" w:cs="Times New Roman"/>
                <w:sz w:val="20"/>
                <w:szCs w:val="20"/>
                <w:lang w:eastAsia="pl-PL"/>
              </w:rPr>
              <w:t xml:space="preserve"> </w:t>
            </w:r>
            <w:proofErr w:type="spellStart"/>
            <w:r w:rsidR="000D7B59" w:rsidRPr="00067F48">
              <w:rPr>
                <w:rFonts w:ascii="Times New Roman" w:eastAsia="Times New Roman" w:hAnsi="Times New Roman" w:cs="Times New Roman"/>
                <w:sz w:val="20"/>
                <w:szCs w:val="20"/>
                <w:lang w:eastAsia="pl-PL"/>
              </w:rPr>
              <w:t>filgotynibem</w:t>
            </w:r>
            <w:proofErr w:type="spellEnd"/>
            <w:r w:rsidR="000D7B59" w:rsidRPr="00067F48">
              <w:rPr>
                <w:rFonts w:ascii="Times New Roman" w:eastAsia="Times New Roman" w:hAnsi="Times New Roman" w:cs="Times New Roman"/>
                <w:sz w:val="20"/>
                <w:szCs w:val="20"/>
                <w:lang w:eastAsia="pl-PL"/>
              </w:rPr>
              <w:t xml:space="preserve"> </w:t>
            </w:r>
            <w:r w:rsidR="00507204" w:rsidRPr="00067F48">
              <w:rPr>
                <w:rFonts w:ascii="Times New Roman" w:eastAsia="Times New Roman" w:hAnsi="Times New Roman" w:cs="Times New Roman"/>
                <w:sz w:val="20"/>
                <w:szCs w:val="20"/>
                <w:lang w:eastAsia="pl-PL"/>
              </w:rPr>
              <w:t>albo</w:t>
            </w:r>
            <w:r w:rsidR="000D7B59" w:rsidRPr="00067F48">
              <w:rPr>
                <w:rFonts w:ascii="Times New Roman" w:eastAsia="Times New Roman" w:hAnsi="Times New Roman" w:cs="Times New Roman"/>
                <w:sz w:val="20"/>
                <w:szCs w:val="20"/>
                <w:lang w:eastAsia="pl-PL"/>
              </w:rPr>
              <w:t xml:space="preserve"> </w:t>
            </w:r>
            <w:proofErr w:type="spellStart"/>
            <w:r w:rsidR="00EA4A2E" w:rsidRPr="00067F48">
              <w:rPr>
                <w:rFonts w:ascii="Times New Roman" w:eastAsia="Times New Roman" w:hAnsi="Times New Roman" w:cs="Times New Roman"/>
                <w:sz w:val="20"/>
                <w:szCs w:val="20"/>
                <w:lang w:eastAsia="pl-PL"/>
              </w:rPr>
              <w:t>anakinrą</w:t>
            </w:r>
            <w:proofErr w:type="spellEnd"/>
            <w:r w:rsidR="00EA4A2E" w:rsidRPr="00067F48">
              <w:rPr>
                <w:rFonts w:ascii="Times New Roman" w:eastAsia="Times New Roman" w:hAnsi="Times New Roman" w:cs="Times New Roman"/>
                <w:sz w:val="20"/>
                <w:szCs w:val="20"/>
                <w:lang w:eastAsia="pl-PL"/>
              </w:rPr>
              <w:t xml:space="preserve"> </w:t>
            </w:r>
            <w:r w:rsidR="00067F48" w:rsidRPr="00067F48">
              <w:rPr>
                <w:rFonts w:ascii="Times New Roman" w:eastAsia="Times New Roman" w:hAnsi="Times New Roman" w:cs="Times New Roman"/>
                <w:sz w:val="20"/>
                <w:szCs w:val="20"/>
                <w:lang w:eastAsia="pl-PL"/>
              </w:rPr>
              <w:t xml:space="preserve">albo </w:t>
            </w:r>
            <w:proofErr w:type="spellStart"/>
            <w:r w:rsidR="00067F48" w:rsidRPr="00067F48">
              <w:rPr>
                <w:rFonts w:ascii="Times New Roman" w:eastAsia="Times New Roman" w:hAnsi="Times New Roman" w:cs="Times New Roman"/>
                <w:sz w:val="20"/>
                <w:szCs w:val="20"/>
                <w:lang w:eastAsia="pl-PL"/>
              </w:rPr>
              <w:t>kanakinumabem</w:t>
            </w:r>
            <w:proofErr w:type="spellEnd"/>
            <w:r w:rsidR="00067F48" w:rsidRPr="00067F48">
              <w:rPr>
                <w:rFonts w:ascii="Times New Roman" w:eastAsia="Times New Roman" w:hAnsi="Times New Roman" w:cs="Times New Roman"/>
                <w:sz w:val="20"/>
                <w:szCs w:val="20"/>
                <w:lang w:eastAsia="pl-PL"/>
              </w:rPr>
              <w:t xml:space="preserve"> </w:t>
            </w:r>
            <w:r w:rsidR="00EA4A2E" w:rsidRPr="00EC7B60">
              <w:rPr>
                <w:rFonts w:ascii="Times New Roman" w:hAnsi="Times New Roman" w:cs="Times New Roman"/>
                <w:sz w:val="20"/>
                <w:szCs w:val="20"/>
              </w:rPr>
              <w:t>u</w:t>
            </w:r>
            <w:r w:rsidR="0052643B" w:rsidRPr="00067F48">
              <w:rPr>
                <w:rFonts w:ascii="Times New Roman" w:eastAsia="Times New Roman" w:hAnsi="Times New Roman" w:cs="Times New Roman"/>
                <w:sz w:val="20"/>
                <w:szCs w:val="20"/>
                <w:lang w:eastAsia="pl-PL"/>
              </w:rPr>
              <w:t xml:space="preserve"> </w:t>
            </w:r>
            <w:r w:rsidRPr="00067F48">
              <w:rPr>
                <w:rFonts w:ascii="Times New Roman" w:eastAsia="Times New Roman" w:hAnsi="Times New Roman" w:cs="Times New Roman"/>
                <w:sz w:val="20"/>
                <w:szCs w:val="20"/>
                <w:lang w:eastAsia="pl-PL"/>
              </w:rPr>
              <w:t>których:</w:t>
            </w:r>
          </w:p>
          <w:p w14:paraId="3D804D15" w14:textId="06D8A4B1" w:rsidR="00F569AE" w:rsidRPr="00154BF9" w:rsidRDefault="008C0EA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p>
          <w:p w14:paraId="10FA48BC" w14:textId="78915703" w:rsidR="008C0EA1" w:rsidRPr="00154BF9" w:rsidRDefault="008C0EA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0F73D3AD" w14:textId="184E1D3D" w:rsidR="00F569AE" w:rsidRPr="00154BF9" w:rsidRDefault="008C0EA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p>
          <w:p w14:paraId="6CC5079F" w14:textId="423BE959" w:rsidR="008C0EA1" w:rsidRPr="00154BF9" w:rsidRDefault="008C0EA1"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DC248DC" w14:textId="647C0E24" w:rsidR="008C0EA1" w:rsidRPr="00154BF9" w:rsidRDefault="008C0EA1"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0172018F" w14:textId="0397AD5C" w:rsidR="008C0EA1" w:rsidRPr="00154BF9" w:rsidRDefault="008C0EA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33E8CA57" w14:textId="176C138F" w:rsidR="00664775" w:rsidRPr="00154BF9" w:rsidRDefault="00664775"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hAnsi="Times New Roman" w:cs="Times New Roman"/>
                <w:sz w:val="20"/>
                <w:szCs w:val="20"/>
              </w:rPr>
              <w:t>upadacytynib</w:t>
            </w:r>
            <w:r w:rsidRPr="00154BF9">
              <w:rPr>
                <w:rFonts w:ascii="Times New Roman" w:eastAsia="Times New Roman" w:hAnsi="Times New Roman" w:cs="Times New Roman"/>
                <w:sz w:val="20"/>
                <w:szCs w:val="20"/>
                <w:lang w:eastAsia="pl-PL"/>
              </w:rPr>
              <w: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konieczności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p>
          <w:p w14:paraId="04A737F6" w14:textId="74E99115" w:rsidR="00664775" w:rsidRPr="00154BF9" w:rsidRDefault="00664775"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jednym,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 xml:space="preserve">alfa </w:t>
            </w:r>
            <w:r w:rsidR="00696524" w:rsidRPr="00154BF9">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 xml:space="preserve">albo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 xml:space="preserve">albo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A72389">
              <w:t xml:space="preserve"> </w:t>
            </w:r>
            <w:r w:rsidR="00A72389" w:rsidRPr="00A72389">
              <w:rPr>
                <w:rFonts w:ascii="Times New Roman" w:eastAsia="Times New Roman" w:hAnsi="Times New Roman" w:cs="Times New Roman"/>
                <w:sz w:val="20"/>
                <w:szCs w:val="20"/>
                <w:lang w:eastAsia="pl-PL"/>
              </w:rPr>
              <w:t xml:space="preserve">albo </w:t>
            </w:r>
            <w:proofErr w:type="spellStart"/>
            <w:r w:rsidR="00EA4A2E" w:rsidRPr="00A72389">
              <w:rPr>
                <w:rFonts w:ascii="Times New Roman" w:eastAsia="Times New Roman" w:hAnsi="Times New Roman" w:cs="Times New Roman"/>
                <w:sz w:val="20"/>
                <w:szCs w:val="20"/>
                <w:lang w:eastAsia="pl-PL"/>
              </w:rPr>
              <w:t>filgotynibem</w:t>
            </w:r>
            <w:proofErr w:type="spellEnd"/>
            <w:r w:rsidR="00EA4A2E" w:rsidRPr="00A72389">
              <w:rPr>
                <w:rFonts w:ascii="Times New Roman" w:eastAsia="Times New Roman" w:hAnsi="Times New Roman" w:cs="Times New Roman"/>
                <w:sz w:val="20"/>
                <w:szCs w:val="20"/>
                <w:lang w:eastAsia="pl-PL"/>
              </w:rPr>
              <w:t xml:space="preserve"> </w:t>
            </w:r>
            <w:r w:rsidR="00EA4A2E"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00067F48">
              <w:rPr>
                <w:rFonts w:ascii="Times New Roman" w:eastAsia="Times New Roman" w:hAnsi="Times New Roman" w:cs="Times New Roman"/>
                <w:sz w:val="20"/>
                <w:szCs w:val="20"/>
                <w:lang w:eastAsia="pl-PL"/>
              </w:rPr>
              <w:t xml:space="preserve"> </w:t>
            </w:r>
            <w:r w:rsidR="00067F48" w:rsidRPr="00067F48">
              <w:rPr>
                <w:rFonts w:ascii="Times New Roman" w:eastAsia="Times New Roman" w:hAnsi="Times New Roman" w:cs="Times New Roman"/>
                <w:sz w:val="20"/>
                <w:szCs w:val="20"/>
                <w:lang w:eastAsia="pl-PL"/>
              </w:rPr>
              <w:t xml:space="preserve">albo </w:t>
            </w:r>
            <w:proofErr w:type="spellStart"/>
            <w:r w:rsidR="00067F48" w:rsidRPr="00067F48">
              <w:rPr>
                <w:rFonts w:ascii="Times New Roman" w:eastAsia="Times New Roman" w:hAnsi="Times New Roman" w:cs="Times New Roman"/>
                <w:sz w:val="20"/>
                <w:szCs w:val="20"/>
                <w:lang w:eastAsia="pl-PL"/>
              </w:rPr>
              <w:t>kanakinumabem</w:t>
            </w:r>
            <w:proofErr w:type="spellEnd"/>
            <w:r w:rsidR="00067F48">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01E4E669" w14:textId="4E92BDF5" w:rsidR="00210416" w:rsidRPr="00154BF9" w:rsidRDefault="00664775"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w:t>
            </w:r>
            <w:r w:rsidR="00210416" w:rsidRPr="00154BF9">
              <w:rPr>
                <w:rFonts w:ascii="Times New Roman" w:eastAsia="Times New Roman" w:hAnsi="Times New Roman" w:cs="Times New Roman"/>
                <w:sz w:val="20"/>
                <w:szCs w:val="20"/>
                <w:lang w:eastAsia="pl-PL"/>
              </w:rPr>
              <w:t>ą</w:t>
            </w:r>
          </w:p>
          <w:p w14:paraId="1E1A8F5E" w14:textId="609E8D07" w:rsidR="00664775" w:rsidRPr="00154BF9" w:rsidRDefault="00664775" w:rsidP="007F271B">
            <w:pPr>
              <w:spacing w:after="60" w:line="276" w:lineRule="auto"/>
              <w:ind w:left="68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057D187E" w14:textId="45106687" w:rsidR="00210416" w:rsidRPr="00154BF9" w:rsidRDefault="00664775"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p>
          <w:p w14:paraId="7BFAC90F" w14:textId="3E9F6F49" w:rsidR="00664775" w:rsidRPr="00154BF9" w:rsidRDefault="00664775" w:rsidP="007F271B">
            <w:pPr>
              <w:spacing w:after="60" w:line="276" w:lineRule="auto"/>
              <w:ind w:left="68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F004254" w14:textId="7FD56CF6" w:rsidR="00664775" w:rsidRPr="00154BF9" w:rsidRDefault="00664775" w:rsidP="007F271B">
            <w:pPr>
              <w:numPr>
                <w:ilvl w:val="5"/>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p>
          <w:p w14:paraId="28DE32CA" w14:textId="3E16E2CF" w:rsidR="00664775" w:rsidRPr="00154BF9" w:rsidRDefault="00664775"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hAnsi="Times New Roman" w:cs="Times New Roman"/>
                <w:sz w:val="20"/>
                <w:szCs w:val="20"/>
              </w:rPr>
              <w:t>upadacytynib</w:t>
            </w:r>
            <w:r w:rsidRPr="00154BF9">
              <w:rPr>
                <w:rFonts w:ascii="Times New Roman" w:eastAsia="Times New Roman" w:hAnsi="Times New Roman" w:cs="Times New Roman"/>
                <w:sz w:val="20"/>
                <w:szCs w:val="20"/>
                <w:lang w:eastAsia="pl-PL"/>
              </w:rPr>
              <w: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wcześniejszym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dopiero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upływie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ostatniej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potencjalnego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korzyści.</w:t>
            </w:r>
          </w:p>
          <w:p w14:paraId="0A521EC9" w14:textId="6547ACDE" w:rsidR="008A3AAD" w:rsidRPr="00154BF9" w:rsidRDefault="008A3AAD"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Do terapii </w:t>
            </w:r>
            <w:proofErr w:type="spellStart"/>
            <w:r w:rsidRPr="00154BF9">
              <w:rPr>
                <w:rFonts w:ascii="Times New Roman" w:eastAsia="Times New Roman" w:hAnsi="Times New Roman" w:cs="Times New Roman"/>
                <w:sz w:val="20"/>
                <w:szCs w:val="20"/>
                <w:lang w:eastAsia="pl-PL"/>
              </w:rPr>
              <w:t>filgotynibem</w:t>
            </w:r>
            <w:proofErr w:type="spellEnd"/>
            <w:r w:rsidRPr="00154BF9">
              <w:rPr>
                <w:rFonts w:ascii="Times New Roman" w:eastAsia="Times New Roman" w:hAnsi="Times New Roman" w:cs="Times New Roman"/>
                <w:sz w:val="20"/>
                <w:szCs w:val="20"/>
                <w:lang w:eastAsia="pl-PL"/>
              </w:rPr>
              <w:t xml:space="preserve"> kwalifikują się, bez konieczności spełnienia kryterium pkt 1 </w:t>
            </w:r>
            <w:proofErr w:type="spellStart"/>
            <w:r w:rsidRPr="00154BF9">
              <w:rPr>
                <w:rFonts w:ascii="Times New Roman" w:eastAsia="Times New Roman" w:hAnsi="Times New Roman" w:cs="Times New Roman"/>
                <w:sz w:val="20"/>
                <w:szCs w:val="20"/>
                <w:lang w:eastAsia="pl-PL"/>
              </w:rPr>
              <w:t>ppkt</w:t>
            </w:r>
            <w:proofErr w:type="spellEnd"/>
            <w:r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1</w:t>
            </w:r>
            <w:r w:rsidRPr="00154BF9">
              <w:rPr>
                <w:rFonts w:ascii="Times New Roman" w:eastAsia="Times New Roman" w:hAnsi="Times New Roman" w:cs="Times New Roman"/>
                <w:sz w:val="20"/>
                <w:szCs w:val="20"/>
                <w:lang w:eastAsia="pl-PL"/>
              </w:rPr>
              <w:t>a) części dotyczącej RZS niniejszego programu, pacjenci poddani leczeniu RZS w ramach programów lekowych:</w:t>
            </w:r>
          </w:p>
          <w:p w14:paraId="0B73C025" w14:textId="3F6FCD96" w:rsidR="008A3AAD" w:rsidRPr="00154BF9" w:rsidRDefault="008A3AAD" w:rsidP="007F271B">
            <w:pPr>
              <w:pStyle w:val="Akapitzlist"/>
              <w:numPr>
                <w:ilvl w:val="3"/>
                <w:numId w:val="1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jednym, dwoma lub trzema inhibitorami TNF alfa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tocilizumabem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EC0666"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EC0666" w:rsidRPr="00154BF9">
              <w:rPr>
                <w:rFonts w:ascii="Times New Roman" w:eastAsia="Times New Roman" w:hAnsi="Times New Roman" w:cs="Times New Roman"/>
                <w:sz w:val="20"/>
                <w:szCs w:val="20"/>
                <w:lang w:eastAsia="pl-PL"/>
              </w:rPr>
              <w:t xml:space="preserve"> </w:t>
            </w:r>
            <w:proofErr w:type="spellStart"/>
            <w:r w:rsidR="00EC0666" w:rsidRPr="00154BF9">
              <w:rPr>
                <w:rFonts w:ascii="Times New Roman" w:eastAsia="Times New Roman" w:hAnsi="Times New Roman" w:cs="Times New Roman"/>
                <w:sz w:val="20"/>
                <w:szCs w:val="20"/>
                <w:lang w:eastAsia="pl-PL"/>
              </w:rPr>
              <w:t>upadacytynibem</w:t>
            </w:r>
            <w:proofErr w:type="spellEnd"/>
            <w:r w:rsidR="00EC0666" w:rsidRPr="00154BF9">
              <w:rPr>
                <w:rFonts w:ascii="Times New Roman" w:eastAsia="Times New Roman" w:hAnsi="Times New Roman" w:cs="Times New Roman"/>
                <w:sz w:val="20"/>
                <w:szCs w:val="20"/>
                <w:lang w:eastAsia="pl-PL"/>
              </w:rPr>
              <w:t xml:space="preserve"> </w:t>
            </w:r>
            <w:r w:rsidR="00C421A5" w:rsidRPr="00154BF9">
              <w:rPr>
                <w:rFonts w:ascii="Times New Roman" w:eastAsia="Times New Roman" w:hAnsi="Times New Roman" w:cs="Times New Roman"/>
                <w:sz w:val="20"/>
                <w:szCs w:val="20"/>
                <w:lang w:eastAsia="pl-PL"/>
              </w:rPr>
              <w:t>albo</w:t>
            </w:r>
            <w:r w:rsidR="00EC0666"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anakinrą</w:t>
            </w:r>
            <w:proofErr w:type="spellEnd"/>
            <w:r w:rsidR="00696524" w:rsidRPr="00154BF9">
              <w:rPr>
                <w:rFonts w:ascii="Times New Roman" w:eastAsia="Times New Roman" w:hAnsi="Times New Roman" w:cs="Times New Roman"/>
                <w:sz w:val="20"/>
                <w:szCs w:val="20"/>
                <w:lang w:eastAsia="pl-PL"/>
              </w:rPr>
              <w:t xml:space="preserve"> </w:t>
            </w:r>
            <w:r w:rsidR="00067F48" w:rsidRPr="00067F48">
              <w:rPr>
                <w:rFonts w:ascii="Times New Roman" w:eastAsia="Times New Roman" w:hAnsi="Times New Roman" w:cs="Times New Roman"/>
                <w:sz w:val="20"/>
                <w:szCs w:val="20"/>
                <w:lang w:eastAsia="pl-PL"/>
              </w:rPr>
              <w:t xml:space="preserve">albo </w:t>
            </w:r>
            <w:proofErr w:type="spellStart"/>
            <w:r w:rsidR="00067F48" w:rsidRPr="00067F48">
              <w:rPr>
                <w:rFonts w:ascii="Times New Roman" w:eastAsia="Times New Roman" w:hAnsi="Times New Roman" w:cs="Times New Roman"/>
                <w:sz w:val="20"/>
                <w:szCs w:val="20"/>
                <w:lang w:eastAsia="pl-PL"/>
              </w:rPr>
              <w:t>kanakinumabem</w:t>
            </w:r>
            <w:proofErr w:type="spellEnd"/>
            <w:r w:rsidR="00067F48" w:rsidRPr="00067F48">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u</w:t>
            </w:r>
            <w:r w:rsidRPr="00154BF9">
              <w:rPr>
                <w:rFonts w:ascii="Times New Roman" w:eastAsia="Times New Roman" w:hAnsi="Times New Roman" w:cs="Times New Roman"/>
                <w:sz w:val="20"/>
                <w:szCs w:val="20"/>
                <w:lang w:eastAsia="pl-PL"/>
              </w:rPr>
              <w:t xml:space="preserve"> których:</w:t>
            </w:r>
          </w:p>
          <w:p w14:paraId="729EF2FE" w14:textId="77777777" w:rsidR="008A3AAD" w:rsidRPr="00154BF9" w:rsidRDefault="008A3AAD" w:rsidP="007F271B">
            <w:pPr>
              <w:pStyle w:val="Akapitzlist"/>
              <w:numPr>
                <w:ilvl w:val="4"/>
                <w:numId w:val="10"/>
              </w:numPr>
              <w:spacing w:after="60" w:line="276" w:lineRule="auto"/>
              <w:ind w:left="68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 ciężka reakcja uczuleniowa na substancję czynną lub pomocniczą</w:t>
            </w:r>
          </w:p>
          <w:p w14:paraId="56DCE79F" w14:textId="77777777" w:rsidR="008A3AAD" w:rsidRPr="00154BF9" w:rsidRDefault="008A3AAD" w:rsidP="007F271B">
            <w:pPr>
              <w:pStyle w:val="Akapitzlist"/>
              <w:spacing w:after="60" w:line="276" w:lineRule="auto"/>
              <w:ind w:left="51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lub </w:t>
            </w:r>
          </w:p>
          <w:p w14:paraId="73AEA08A" w14:textId="77777777" w:rsidR="008A3AAD" w:rsidRPr="00154BF9" w:rsidRDefault="008A3AAD" w:rsidP="007F271B">
            <w:pPr>
              <w:pStyle w:val="Akapitzlist"/>
              <w:numPr>
                <w:ilvl w:val="4"/>
                <w:numId w:val="10"/>
              </w:numPr>
              <w:spacing w:after="60" w:line="276" w:lineRule="auto"/>
              <w:ind w:left="68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wystąpiły ciężkie działania niepożądane uniemożliwiające kontynuowanie terapii, które nie ustępują mimo dostosowywania dawki leku zgodnie z ChPL </w:t>
            </w:r>
          </w:p>
          <w:p w14:paraId="0D51CFE9" w14:textId="77777777" w:rsidR="008A3AAD" w:rsidRPr="00154BF9" w:rsidRDefault="008A3AAD" w:rsidP="007F271B">
            <w:pPr>
              <w:pStyle w:val="Akapitzlist"/>
              <w:spacing w:after="60" w:line="276" w:lineRule="auto"/>
              <w:ind w:left="56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6A1E833" w14:textId="77777777" w:rsidR="008A3AAD" w:rsidRPr="00154BF9" w:rsidRDefault="008A3AAD" w:rsidP="007F271B">
            <w:pPr>
              <w:pStyle w:val="Akapitzlist"/>
              <w:numPr>
                <w:ilvl w:val="4"/>
                <w:numId w:val="10"/>
              </w:numPr>
              <w:spacing w:after="60" w:line="276" w:lineRule="auto"/>
              <w:ind w:left="680" w:hanging="17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 brak albo utratę odpowiedzi na zastosowane leczenie (zgodnie z definicją zawartą w kryteriach wyłączenia z programu w programach lekowych dotyczących leczenia RZS).</w:t>
            </w:r>
          </w:p>
          <w:p w14:paraId="0F07EA81" w14:textId="4AE8A7D9" w:rsidR="008A3AAD" w:rsidRPr="002A565F" w:rsidRDefault="008A3AAD" w:rsidP="002A565F">
            <w:pPr>
              <w:pStyle w:val="Akapitzlist"/>
              <w:spacing w:after="60" w:line="276" w:lineRule="auto"/>
              <w:ind w:left="51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Kwalifikacja do terapii </w:t>
            </w:r>
            <w:proofErr w:type="spellStart"/>
            <w:r w:rsidRPr="00154BF9">
              <w:rPr>
                <w:rFonts w:ascii="Times New Roman" w:eastAsia="Times New Roman" w:hAnsi="Times New Roman" w:cs="Times New Roman"/>
                <w:sz w:val="20"/>
                <w:szCs w:val="20"/>
                <w:lang w:eastAsia="pl-PL"/>
              </w:rPr>
              <w:t>filgotynibem</w:t>
            </w:r>
            <w:proofErr w:type="spellEnd"/>
            <w:r w:rsidRPr="00154BF9">
              <w:rPr>
                <w:rFonts w:ascii="Times New Roman" w:eastAsia="Times New Roman" w:hAnsi="Times New Roman" w:cs="Times New Roman"/>
                <w:sz w:val="20"/>
                <w:szCs w:val="20"/>
                <w:lang w:eastAsia="pl-PL"/>
              </w:rPr>
              <w:t xml:space="preserve"> po wcześniejszym leczeniu </w:t>
            </w:r>
            <w:proofErr w:type="spellStart"/>
            <w:r w:rsidRPr="00154BF9">
              <w:rPr>
                <w:rFonts w:ascii="Times New Roman" w:eastAsia="Times New Roman" w:hAnsi="Times New Roman" w:cs="Times New Roman"/>
                <w:sz w:val="20"/>
                <w:szCs w:val="20"/>
                <w:lang w:eastAsia="pl-PL"/>
              </w:rPr>
              <w:t>rytuksymabem</w:t>
            </w:r>
            <w:proofErr w:type="spellEnd"/>
            <w:r w:rsidRPr="00154BF9">
              <w:rPr>
                <w:rFonts w:ascii="Times New Roman" w:eastAsia="Times New Roman" w:hAnsi="Times New Roman" w:cs="Times New Roman"/>
                <w:sz w:val="20"/>
                <w:szCs w:val="20"/>
                <w:lang w:eastAsia="pl-PL"/>
              </w:rPr>
              <w:t xml:space="preserve"> jest możliwa dopiero po upływie co najmniej 6 miesięcy od </w:t>
            </w:r>
            <w:r w:rsidRPr="00154BF9">
              <w:rPr>
                <w:rFonts w:ascii="Times New Roman" w:eastAsia="Times New Roman" w:hAnsi="Times New Roman" w:cs="Times New Roman"/>
                <w:sz w:val="20"/>
                <w:szCs w:val="20"/>
                <w:lang w:eastAsia="pl-PL"/>
              </w:rPr>
              <w:lastRenderedPageBreak/>
              <w:t xml:space="preserve">podania ostatniej dawki </w:t>
            </w:r>
            <w:proofErr w:type="spellStart"/>
            <w:r w:rsidRPr="00154BF9">
              <w:rPr>
                <w:rFonts w:ascii="Times New Roman" w:eastAsia="Times New Roman" w:hAnsi="Times New Roman" w:cs="Times New Roman"/>
                <w:sz w:val="20"/>
                <w:szCs w:val="20"/>
                <w:lang w:eastAsia="pl-PL"/>
              </w:rPr>
              <w:t>rytuksymabu</w:t>
            </w:r>
            <w:proofErr w:type="spellEnd"/>
            <w:r w:rsidRPr="00154BF9">
              <w:rPr>
                <w:rFonts w:ascii="Times New Roman" w:eastAsia="Times New Roman" w:hAnsi="Times New Roman" w:cs="Times New Roman"/>
                <w:sz w:val="20"/>
                <w:szCs w:val="20"/>
                <w:lang w:eastAsia="pl-PL"/>
              </w:rPr>
              <w:t xml:space="preserve"> z uwzględnieniem potencjalnego ryzyka i korzyści.</w:t>
            </w:r>
          </w:p>
          <w:p w14:paraId="4F870ADC" w14:textId="5E2BFF70" w:rsidR="006D087B" w:rsidRPr="00154BF9" w:rsidRDefault="006D087B"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942CD3"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p>
          <w:p w14:paraId="0AB8677A" w14:textId="5A7C19B4" w:rsidR="006D087B" w:rsidRPr="00154BF9" w:rsidRDefault="006D087B" w:rsidP="007F271B">
            <w:pPr>
              <w:pStyle w:val="Akapitzlist"/>
              <w:numPr>
                <w:ilvl w:val="4"/>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albo</w:t>
            </w:r>
            <w:r w:rsidR="00067F48"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albo</w:t>
            </w:r>
            <w:r w:rsidR="00067F48"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albo</w:t>
            </w:r>
            <w:r w:rsidR="00067F48"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albo</w:t>
            </w:r>
            <w:r w:rsidR="00067F48" w:rsidRPr="00154BF9">
              <w:rPr>
                <w:rFonts w:ascii="Times New Roman" w:eastAsia="Times New Roman" w:hAnsi="Times New Roman" w:cs="Times New Roman"/>
                <w:sz w:val="20"/>
                <w:szCs w:val="20"/>
                <w:lang w:eastAsia="pl-PL"/>
              </w:rPr>
              <w:t xml:space="preserve"> </w:t>
            </w:r>
            <w:proofErr w:type="spellStart"/>
            <w:r w:rsidR="00A0131A" w:rsidRPr="00154BF9">
              <w:rPr>
                <w:rFonts w:ascii="Times New Roman" w:eastAsia="Times New Roman" w:hAnsi="Times New Roman" w:cs="Times New Roman"/>
                <w:sz w:val="20"/>
                <w:szCs w:val="20"/>
                <w:lang w:eastAsia="pl-PL"/>
              </w:rPr>
              <w:t>upadacytynibem</w:t>
            </w:r>
            <w:proofErr w:type="spellEnd"/>
            <w:r w:rsidR="0052643B" w:rsidRPr="00154BF9">
              <w:rPr>
                <w:rFonts w:ascii="Times New Roman" w:eastAsia="Times New Roman" w:hAnsi="Times New Roman" w:cs="Times New Roman"/>
                <w:sz w:val="20"/>
                <w:szCs w:val="20"/>
                <w:lang w:eastAsia="pl-PL"/>
              </w:rPr>
              <w:t xml:space="preserve"> </w:t>
            </w:r>
            <w:r w:rsidR="00067F48">
              <w:rPr>
                <w:rFonts w:ascii="Times New Roman" w:eastAsia="Times New Roman" w:hAnsi="Times New Roman" w:cs="Times New Roman"/>
                <w:sz w:val="20"/>
                <w:szCs w:val="20"/>
                <w:lang w:eastAsia="pl-PL"/>
              </w:rPr>
              <w:t xml:space="preserve">albo </w:t>
            </w:r>
            <w:proofErr w:type="spellStart"/>
            <w:r w:rsidR="00494CF1" w:rsidRPr="00154BF9">
              <w:rPr>
                <w:rFonts w:ascii="Times New Roman" w:eastAsia="Times New Roman" w:hAnsi="Times New Roman" w:cs="Times New Roman"/>
                <w:sz w:val="20"/>
                <w:szCs w:val="20"/>
                <w:lang w:eastAsia="pl-PL"/>
              </w:rPr>
              <w:t>filgotynibem</w:t>
            </w:r>
            <w:proofErr w:type="spellEnd"/>
            <w:r w:rsidR="00494CF1" w:rsidRPr="00154BF9">
              <w:rPr>
                <w:rFonts w:ascii="Times New Roman" w:eastAsia="Times New Roman" w:hAnsi="Times New Roman" w:cs="Times New Roman"/>
                <w:sz w:val="20"/>
                <w:szCs w:val="20"/>
                <w:lang w:eastAsia="pl-PL"/>
              </w:rPr>
              <w:t xml:space="preserve"> </w:t>
            </w:r>
            <w:r w:rsidR="00067F48" w:rsidRPr="00067F48">
              <w:rPr>
                <w:rFonts w:ascii="Times New Roman" w:eastAsia="Times New Roman" w:hAnsi="Times New Roman" w:cs="Times New Roman"/>
                <w:sz w:val="20"/>
                <w:szCs w:val="20"/>
                <w:lang w:eastAsia="pl-PL"/>
              </w:rPr>
              <w:t xml:space="preserve">albo </w:t>
            </w:r>
            <w:proofErr w:type="spellStart"/>
            <w:r w:rsidR="00067F48" w:rsidRPr="00067F48">
              <w:rPr>
                <w:rFonts w:ascii="Times New Roman" w:eastAsia="Times New Roman" w:hAnsi="Times New Roman" w:cs="Times New Roman"/>
                <w:sz w:val="20"/>
                <w:szCs w:val="20"/>
                <w:lang w:eastAsia="pl-PL"/>
              </w:rPr>
              <w:t>kanakinumabem</w:t>
            </w:r>
            <w:proofErr w:type="spellEnd"/>
            <w:r w:rsidR="00067F48" w:rsidRPr="00067F48">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50DA5CBB" w14:textId="4FB03F79" w:rsidR="00A0131A" w:rsidRPr="00154BF9" w:rsidRDefault="006D087B"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p>
          <w:p w14:paraId="5F6666B8" w14:textId="7B719E7F" w:rsidR="006D087B" w:rsidRPr="00154BF9" w:rsidRDefault="006D087B"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601135E0" w14:textId="031373EF" w:rsidR="00A0131A" w:rsidRPr="00154BF9" w:rsidRDefault="006D087B" w:rsidP="007F271B">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p>
          <w:p w14:paraId="767F91E8" w14:textId="64244FAB" w:rsidR="006D087B" w:rsidRPr="00154BF9" w:rsidRDefault="006D087B" w:rsidP="007F271B">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13981876" w14:textId="77777777" w:rsidR="00067F48" w:rsidRDefault="006D087B" w:rsidP="00067F48">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przeciwwskazane.</w:t>
            </w:r>
          </w:p>
          <w:p w14:paraId="3BAAFF44" w14:textId="1557FF4D" w:rsidR="00067F48" w:rsidRPr="00EC7B60" w:rsidRDefault="00067F48" w:rsidP="00EC7B60">
            <w:pPr>
              <w:pStyle w:val="Akapitzlist"/>
              <w:numPr>
                <w:ilvl w:val="3"/>
                <w:numId w:val="19"/>
              </w:numPr>
              <w:spacing w:after="60" w:line="276" w:lineRule="auto"/>
              <w:jc w:val="both"/>
              <w:rPr>
                <w:rFonts w:ascii="Times New Roman" w:eastAsia="Times New Roman" w:hAnsi="Times New Roman" w:cs="Times New Roman"/>
                <w:sz w:val="20"/>
                <w:szCs w:val="20"/>
                <w:lang w:eastAsia="pl-PL"/>
              </w:rPr>
            </w:pPr>
            <w:r w:rsidRPr="00EC7B60">
              <w:rPr>
                <w:rFonts w:ascii="Times New Roman" w:eastAsia="Times New Roman" w:hAnsi="Times New Roman" w:cs="Times New Roman"/>
                <w:sz w:val="20"/>
                <w:szCs w:val="20"/>
                <w:lang w:eastAsia="pl-PL"/>
              </w:rPr>
              <w:t xml:space="preserve">Do terapii </w:t>
            </w:r>
            <w:proofErr w:type="spellStart"/>
            <w:r w:rsidRPr="00EC7B60">
              <w:rPr>
                <w:rFonts w:ascii="Times New Roman" w:eastAsia="Times New Roman" w:hAnsi="Times New Roman" w:cs="Times New Roman"/>
                <w:sz w:val="20"/>
                <w:szCs w:val="20"/>
                <w:lang w:eastAsia="pl-PL"/>
              </w:rPr>
              <w:t>kanakinumabem</w:t>
            </w:r>
            <w:proofErr w:type="spellEnd"/>
            <w:r w:rsidRPr="00EC7B60">
              <w:rPr>
                <w:rFonts w:ascii="Times New Roman" w:eastAsia="Times New Roman" w:hAnsi="Times New Roman" w:cs="Times New Roman"/>
                <w:sz w:val="20"/>
                <w:szCs w:val="20"/>
                <w:lang w:eastAsia="pl-PL"/>
              </w:rPr>
              <w:t xml:space="preserve"> kwalifikują się także pacjenci z AOSD, poddani wcześniej leczeniu jednym, dwoma lub trzema inhibitorami TNF alfa albo tocilizumabem albo </w:t>
            </w:r>
            <w:proofErr w:type="spellStart"/>
            <w:r w:rsidRPr="00EC7B60">
              <w:rPr>
                <w:rFonts w:ascii="Times New Roman" w:eastAsia="Times New Roman" w:hAnsi="Times New Roman" w:cs="Times New Roman"/>
                <w:sz w:val="20"/>
                <w:szCs w:val="20"/>
                <w:lang w:eastAsia="pl-PL"/>
              </w:rPr>
              <w:t>tofacytynibem</w:t>
            </w:r>
            <w:proofErr w:type="spellEnd"/>
            <w:r w:rsidRPr="00EC7B60">
              <w:rPr>
                <w:rFonts w:ascii="Times New Roman" w:eastAsia="Times New Roman" w:hAnsi="Times New Roman" w:cs="Times New Roman"/>
                <w:sz w:val="20"/>
                <w:szCs w:val="20"/>
                <w:lang w:eastAsia="pl-PL"/>
              </w:rPr>
              <w:t xml:space="preserve"> albo </w:t>
            </w:r>
            <w:proofErr w:type="spellStart"/>
            <w:r w:rsidRPr="00EC7B60">
              <w:rPr>
                <w:rFonts w:ascii="Times New Roman" w:eastAsia="Times New Roman" w:hAnsi="Times New Roman" w:cs="Times New Roman"/>
                <w:sz w:val="20"/>
                <w:szCs w:val="20"/>
                <w:lang w:eastAsia="pl-PL"/>
              </w:rPr>
              <w:t>baricytynibem</w:t>
            </w:r>
            <w:proofErr w:type="spellEnd"/>
            <w:r w:rsidRPr="00EC7B60">
              <w:rPr>
                <w:rFonts w:ascii="Times New Roman" w:eastAsia="Times New Roman" w:hAnsi="Times New Roman" w:cs="Times New Roman"/>
                <w:sz w:val="20"/>
                <w:szCs w:val="20"/>
                <w:lang w:eastAsia="pl-PL"/>
              </w:rPr>
              <w:t xml:space="preserve"> albo </w:t>
            </w:r>
            <w:proofErr w:type="spellStart"/>
            <w:r w:rsidRPr="00EC7B60">
              <w:rPr>
                <w:rFonts w:ascii="Times New Roman" w:eastAsia="Times New Roman" w:hAnsi="Times New Roman" w:cs="Times New Roman"/>
                <w:sz w:val="20"/>
                <w:szCs w:val="20"/>
                <w:lang w:eastAsia="pl-PL"/>
              </w:rPr>
              <w:t>upadacytynibem</w:t>
            </w:r>
            <w:proofErr w:type="spellEnd"/>
            <w:r w:rsidRPr="00EC7B60">
              <w:rPr>
                <w:rFonts w:ascii="Times New Roman" w:eastAsia="Times New Roman" w:hAnsi="Times New Roman" w:cs="Times New Roman"/>
                <w:sz w:val="20"/>
                <w:szCs w:val="20"/>
                <w:lang w:eastAsia="pl-PL"/>
              </w:rPr>
              <w:t xml:space="preserve"> albo </w:t>
            </w:r>
            <w:proofErr w:type="spellStart"/>
            <w:r w:rsidRPr="00EC7B60">
              <w:rPr>
                <w:rFonts w:ascii="Times New Roman" w:eastAsia="Times New Roman" w:hAnsi="Times New Roman" w:cs="Times New Roman"/>
                <w:sz w:val="20"/>
                <w:szCs w:val="20"/>
                <w:lang w:eastAsia="pl-PL"/>
              </w:rPr>
              <w:t>filgotynibem</w:t>
            </w:r>
            <w:proofErr w:type="spellEnd"/>
            <w:r w:rsidRPr="00EC7B60">
              <w:rPr>
                <w:rFonts w:ascii="Times New Roman" w:eastAsia="Times New Roman" w:hAnsi="Times New Roman" w:cs="Times New Roman"/>
                <w:sz w:val="20"/>
                <w:szCs w:val="20"/>
                <w:lang w:eastAsia="pl-PL"/>
              </w:rPr>
              <w:t xml:space="preserve"> albo </w:t>
            </w:r>
            <w:proofErr w:type="spellStart"/>
            <w:r w:rsidRPr="00EC7B60">
              <w:rPr>
                <w:rFonts w:ascii="Times New Roman" w:eastAsia="Times New Roman" w:hAnsi="Times New Roman" w:cs="Times New Roman"/>
                <w:sz w:val="20"/>
                <w:szCs w:val="20"/>
                <w:lang w:eastAsia="pl-PL"/>
              </w:rPr>
              <w:t>rytuksymabem</w:t>
            </w:r>
            <w:proofErr w:type="spellEnd"/>
            <w:r w:rsidRPr="00EC7B60">
              <w:rPr>
                <w:rFonts w:ascii="Times New Roman" w:eastAsia="Times New Roman" w:hAnsi="Times New Roman" w:cs="Times New Roman"/>
                <w:sz w:val="20"/>
                <w:szCs w:val="20"/>
                <w:lang w:eastAsia="pl-PL"/>
              </w:rPr>
              <w:t xml:space="preserve"> albo </w:t>
            </w:r>
            <w:proofErr w:type="spellStart"/>
            <w:r w:rsidRPr="00EC7B60">
              <w:rPr>
                <w:rFonts w:ascii="Times New Roman" w:eastAsia="Times New Roman" w:hAnsi="Times New Roman" w:cs="Times New Roman"/>
                <w:sz w:val="20"/>
                <w:szCs w:val="20"/>
                <w:lang w:eastAsia="pl-PL"/>
              </w:rPr>
              <w:t>anakinrą</w:t>
            </w:r>
            <w:proofErr w:type="spellEnd"/>
            <w:r w:rsidRPr="00EC7B60">
              <w:rPr>
                <w:rFonts w:ascii="Times New Roman" w:eastAsia="Times New Roman" w:hAnsi="Times New Roman" w:cs="Times New Roman"/>
                <w:sz w:val="20"/>
                <w:szCs w:val="20"/>
                <w:lang w:eastAsia="pl-PL"/>
              </w:rPr>
              <w:t xml:space="preserve"> zastosowanymi zgodnie z kryteriami programu, u których:</w:t>
            </w:r>
          </w:p>
          <w:p w14:paraId="2A0FB171" w14:textId="77777777" w:rsidR="00067F48" w:rsidRPr="00067F48" w:rsidRDefault="00067F48" w:rsidP="00067F48">
            <w:pPr>
              <w:pStyle w:val="Akapitzlist"/>
              <w:numPr>
                <w:ilvl w:val="5"/>
                <w:numId w:val="19"/>
              </w:numPr>
              <w:contextualSpacing w:val="0"/>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 xml:space="preserve">wystąpiła ciężka reakcja uczuleniowa na substancję czynną lub pomocniczą </w:t>
            </w:r>
          </w:p>
          <w:p w14:paraId="3716F872" w14:textId="77777777" w:rsidR="00067F48" w:rsidRPr="00067F48" w:rsidRDefault="00067F48" w:rsidP="00EC7B60">
            <w:pPr>
              <w:pStyle w:val="Akapitzlist"/>
              <w:ind w:left="907"/>
              <w:contextualSpacing w:val="0"/>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lub</w:t>
            </w:r>
          </w:p>
          <w:p w14:paraId="0745F054" w14:textId="77777777" w:rsidR="00067F48" w:rsidRPr="00067F48" w:rsidRDefault="00067F48" w:rsidP="00067F48">
            <w:pPr>
              <w:pStyle w:val="Akapitzlist"/>
              <w:numPr>
                <w:ilvl w:val="5"/>
                <w:numId w:val="19"/>
              </w:numPr>
              <w:contextualSpacing w:val="0"/>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 xml:space="preserve">wystąpiły ciężkie działania niepożądane uniemożliwiające kontynuowanie terapii, które nie ustępują mimo dostosowywania dawki leku zgodnie z ChPL </w:t>
            </w:r>
          </w:p>
          <w:p w14:paraId="212181DC" w14:textId="77777777" w:rsidR="00067F48" w:rsidRPr="00067F48" w:rsidRDefault="00067F48" w:rsidP="00EC7B60">
            <w:pPr>
              <w:pStyle w:val="Akapitzlist"/>
              <w:ind w:left="907"/>
              <w:contextualSpacing w:val="0"/>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t>lub</w:t>
            </w:r>
          </w:p>
          <w:p w14:paraId="2600C628" w14:textId="5A67C038" w:rsidR="00067F48" w:rsidRPr="00EC7B60" w:rsidRDefault="00067F48" w:rsidP="00067F48">
            <w:pPr>
              <w:pStyle w:val="Akapitzlist"/>
              <w:numPr>
                <w:ilvl w:val="5"/>
                <w:numId w:val="19"/>
              </w:numPr>
              <w:spacing w:after="60" w:line="276" w:lineRule="auto"/>
              <w:contextualSpacing w:val="0"/>
              <w:jc w:val="both"/>
              <w:rPr>
                <w:rFonts w:ascii="Times New Roman" w:eastAsia="Times New Roman" w:hAnsi="Times New Roman" w:cs="Times New Roman"/>
                <w:sz w:val="20"/>
                <w:szCs w:val="20"/>
                <w:lang w:eastAsia="pl-PL"/>
              </w:rPr>
            </w:pPr>
            <w:r w:rsidRPr="00067F48">
              <w:rPr>
                <w:rFonts w:ascii="Times New Roman" w:eastAsia="Times New Roman" w:hAnsi="Times New Roman" w:cs="Times New Roman"/>
                <w:sz w:val="20"/>
                <w:szCs w:val="20"/>
                <w:lang w:eastAsia="pl-PL"/>
              </w:rPr>
              <w:lastRenderedPageBreak/>
              <w:t>stwierdzono brak albo utratę odpowiedzi na zastosowane leczenie, lub u których zastosowanie w/w leków w programie jest przeciwwskazane lub z uwagi na postać kliniczną AOSD nie jest wskazane</w:t>
            </w:r>
            <w:r w:rsidR="006E514E">
              <w:rPr>
                <w:rFonts w:ascii="Times New Roman" w:eastAsia="Times New Roman" w:hAnsi="Times New Roman" w:cs="Times New Roman"/>
                <w:sz w:val="20"/>
                <w:szCs w:val="20"/>
                <w:lang w:eastAsia="pl-PL"/>
              </w:rPr>
              <w:t>.</w:t>
            </w:r>
          </w:p>
          <w:p w14:paraId="57D0A4B4" w14:textId="61163A21" w:rsidR="00C134CF"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w:t>
            </w:r>
            <w:r w:rsidR="006E514E">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w:t>
            </w:r>
            <w:r w:rsidR="006E514E">
              <w:rPr>
                <w:rFonts w:ascii="Times New Roman" w:eastAsia="Times New Roman" w:hAnsi="Times New Roman" w:cs="Times New Roman"/>
                <w:sz w:val="20"/>
                <w:szCs w:val="20"/>
                <w:lang w:eastAsia="pl-PL"/>
              </w:rPr>
              <w:t>ego</w:t>
            </w:r>
            <w:r w:rsidR="0052643B" w:rsidRPr="00154BF9">
              <w:rPr>
                <w:rFonts w:ascii="Times New Roman" w:eastAsia="Times New Roman" w:hAnsi="Times New Roman" w:cs="Times New Roman"/>
                <w:sz w:val="20"/>
                <w:szCs w:val="20"/>
                <w:lang w:eastAsia="pl-PL"/>
              </w:rPr>
              <w:t xml:space="preserve"> </w:t>
            </w:r>
            <w:r w:rsidR="006E514E">
              <w:rPr>
                <w:rFonts w:ascii="Times New Roman" w:eastAsia="Times New Roman" w:hAnsi="Times New Roman" w:cs="Times New Roman"/>
                <w:sz w:val="20"/>
                <w:szCs w:val="20"/>
                <w:lang w:eastAsia="pl-PL"/>
              </w:rPr>
              <w:t>u 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342F2A" w:rsidRPr="00154BF9">
              <w:rPr>
                <w:rFonts w:ascii="Times New Roman" w:eastAsia="Times New Roman" w:hAnsi="Times New Roman" w:cs="Times New Roman"/>
                <w:sz w:val="20"/>
                <w:szCs w:val="20"/>
                <w:lang w:eastAsia="pl-PL"/>
              </w:rPr>
              <w:t xml:space="preserve">dziewięciu </w:t>
            </w:r>
            <w:r w:rsidRPr="00154BF9">
              <w:rPr>
                <w:rFonts w:ascii="Times New Roman" w:eastAsia="Times New Roman" w:hAnsi="Times New Roman" w:cs="Times New Roman"/>
                <w:sz w:val="20"/>
                <w:szCs w:val="20"/>
                <w:lang w:eastAsia="pl-PL"/>
              </w:rPr>
              <w:t>leków</w:t>
            </w:r>
            <w:r w:rsidR="009D2AF5"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pięciu</w:t>
            </w:r>
            <w:r w:rsidR="0052643B" w:rsidRPr="00154BF9">
              <w:rPr>
                <w:rFonts w:ascii="Times New Roman" w:eastAsia="Times New Roman" w:hAnsi="Times New Roman" w:cs="Times New Roman"/>
                <w:sz w:val="20"/>
                <w:szCs w:val="20"/>
                <w:lang w:eastAsia="pl-PL"/>
              </w:rPr>
              <w:t xml:space="preserve"> </w:t>
            </w:r>
            <w:r w:rsidR="009D2AF5"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biologicznych</w:t>
            </w:r>
            <w:r w:rsidR="0052643B" w:rsidRPr="00154BF9">
              <w:rPr>
                <w:rFonts w:ascii="Times New Roman" w:eastAsia="Times New Roman" w:hAnsi="Times New Roman" w:cs="Times New Roman"/>
                <w:sz w:val="20"/>
                <w:szCs w:val="20"/>
                <w:lang w:eastAsia="pl-PL"/>
              </w:rPr>
              <w:t xml:space="preserve"> </w:t>
            </w:r>
            <w:r w:rsidR="000770C4"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proofErr w:type="spellStart"/>
            <w:r w:rsidR="009D2AF5" w:rsidRPr="00154BF9">
              <w:rPr>
                <w:rFonts w:ascii="Times New Roman" w:eastAsia="Times New Roman" w:hAnsi="Times New Roman" w:cs="Times New Roman"/>
                <w:sz w:val="20"/>
                <w:szCs w:val="20"/>
                <w:lang w:eastAsia="pl-PL"/>
              </w:rPr>
              <w:t>baricytynibu</w:t>
            </w:r>
            <w:proofErr w:type="spellEnd"/>
            <w:r w:rsidR="00C10F7E"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0770C4"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C10F7E" w:rsidRPr="00154BF9">
              <w:rPr>
                <w:rFonts w:ascii="Times New Roman" w:eastAsia="Times New Roman" w:hAnsi="Times New Roman" w:cs="Times New Roman"/>
                <w:sz w:val="20"/>
                <w:szCs w:val="20"/>
                <w:lang w:eastAsia="pl-PL"/>
              </w:rPr>
              <w:t>upadacytynibu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7D77AD" w:rsidRPr="00154BF9">
              <w:rPr>
                <w:rFonts w:ascii="Times New Roman" w:eastAsia="Times New Roman" w:hAnsi="Times New Roman" w:cs="Times New Roman"/>
                <w:sz w:val="20"/>
                <w:szCs w:val="20"/>
                <w:lang w:eastAsia="pl-PL"/>
              </w:rPr>
              <w:t>filgotynibu</w:t>
            </w:r>
            <w:proofErr w:type="spellEnd"/>
            <w:r w:rsidR="0068560B" w:rsidRPr="00154BF9">
              <w:rPr>
                <w:rFonts w:ascii="Times New Roman" w:eastAsia="Times New Roman" w:hAnsi="Times New Roman" w:cs="Times New Roman"/>
                <w:sz w:val="20"/>
                <w:szCs w:val="20"/>
                <w:lang w:eastAsia="pl-PL"/>
              </w:rPr>
              <w:t>,</w:t>
            </w:r>
            <w:r w:rsidR="007D77AD"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8C0EA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2B3A9D18" w14:textId="2B5D36D8" w:rsidR="006D087B" w:rsidRPr="00154BF9" w:rsidRDefault="006D087B"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6E514E">
              <w:rPr>
                <w:rFonts w:ascii="Times New Roman" w:eastAsia="Times New Roman" w:hAnsi="Times New Roman" w:cs="Times New Roman"/>
                <w:sz w:val="20"/>
                <w:szCs w:val="20"/>
                <w:lang w:eastAsia="pl-PL"/>
              </w:rPr>
              <w:t>jedenastu</w:t>
            </w:r>
            <w:r w:rsidR="006E514E"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siedmiu</w:t>
            </w:r>
            <w:r w:rsidR="0052643B" w:rsidRPr="00154BF9">
              <w:rPr>
                <w:rFonts w:ascii="Times New Roman" w:hAnsi="Times New Roman" w:cs="Times New Roman"/>
                <w:sz w:val="20"/>
                <w:szCs w:val="20"/>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biologicznych,</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baricytynibu</w:t>
            </w:r>
            <w:proofErr w:type="spellEnd"/>
            <w:r w:rsidR="002140C4"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494CF1" w:rsidRPr="00154BF9">
              <w:rPr>
                <w:rFonts w:ascii="Times New Roman" w:eastAsia="Times New Roman" w:hAnsi="Times New Roman" w:cs="Times New Roman"/>
                <w:sz w:val="20"/>
                <w:szCs w:val="20"/>
                <w:lang w:eastAsia="pl-PL"/>
              </w:rPr>
              <w:t xml:space="preserve">, </w:t>
            </w:r>
            <w:proofErr w:type="spellStart"/>
            <w:r w:rsidR="00A73D51" w:rsidRPr="00154BF9">
              <w:rPr>
                <w:rFonts w:ascii="Times New Roman" w:eastAsia="Times New Roman" w:hAnsi="Times New Roman" w:cs="Times New Roman"/>
                <w:sz w:val="20"/>
                <w:szCs w:val="20"/>
                <w:lang w:eastAsia="pl-PL"/>
              </w:rPr>
              <w:t>upadacytynibu</w:t>
            </w:r>
            <w:proofErr w:type="spellEnd"/>
            <w:r w:rsidR="00494CF1" w:rsidRPr="00154BF9">
              <w:rPr>
                <w:rFonts w:ascii="Times New Roman" w:eastAsia="Times New Roman" w:hAnsi="Times New Roman" w:cs="Times New Roman"/>
                <w:sz w:val="20"/>
                <w:szCs w:val="20"/>
                <w:lang w:eastAsia="pl-PL"/>
              </w:rPr>
              <w:t xml:space="preserve"> i </w:t>
            </w:r>
            <w:proofErr w:type="spellStart"/>
            <w:r w:rsidR="00494CF1" w:rsidRPr="00154BF9">
              <w:rPr>
                <w:rFonts w:ascii="Times New Roman" w:eastAsia="Times New Roman" w:hAnsi="Times New Roman" w:cs="Times New Roman"/>
                <w:sz w:val="20"/>
                <w:szCs w:val="20"/>
                <w:lang w:eastAsia="pl-PL"/>
              </w:rPr>
              <w:t>filgotynibu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trzech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przyczyną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p>
          <w:p w14:paraId="7A4B5FF5" w14:textId="64AFD708" w:rsidR="00C134CF"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dopuszcza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nieskutecznie.</w:t>
            </w:r>
          </w:p>
          <w:p w14:paraId="38AD40A7" w14:textId="381A487C" w:rsidR="00C134CF"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p>
          <w:p w14:paraId="699609E0" w14:textId="779CEC6C" w:rsidR="00C134CF"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grozi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kalectwo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zagrożone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Koordynacyjnego ds.</w:t>
            </w:r>
            <w:r w:rsidR="0063067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Reumatycznych,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zakwalifikowany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w:t>
            </w:r>
            <w:r w:rsidR="000D7B59" w:rsidRPr="00154BF9">
              <w:rPr>
                <w:rFonts w:ascii="Times New Roman" w:eastAsia="Times New Roman" w:hAnsi="Times New Roman" w:cs="Times New Roman"/>
                <w:sz w:val="20"/>
                <w:szCs w:val="20"/>
                <w:lang w:eastAsia="pl-PL"/>
              </w:rPr>
              <w:t>bem</w:t>
            </w:r>
            <w:proofErr w:type="spellEnd"/>
            <w:r w:rsidR="0052643B" w:rsidRPr="00154BF9">
              <w:rPr>
                <w:rFonts w:ascii="Times New Roman" w:eastAsia="Times New Roman" w:hAnsi="Times New Roman" w:cs="Times New Roman"/>
                <w:sz w:val="20"/>
                <w:szCs w:val="20"/>
                <w:lang w:eastAsia="pl-PL"/>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8939D6" w:rsidRPr="00154BF9">
              <w:rPr>
                <w:rFonts w:ascii="Times New Roman" w:eastAsia="Times New Roman" w:hAnsi="Times New Roman" w:cs="Times New Roman"/>
                <w:sz w:val="20"/>
                <w:szCs w:val="20"/>
                <w:lang w:eastAsia="pl-PL"/>
              </w:rPr>
              <w:t>baricytynib</w:t>
            </w:r>
            <w:r w:rsidR="000D7B59" w:rsidRPr="00154BF9">
              <w:rPr>
                <w:rFonts w:ascii="Times New Roman" w:eastAsia="Times New Roman" w:hAnsi="Times New Roman" w:cs="Times New Roman"/>
                <w:sz w:val="20"/>
                <w:szCs w:val="20"/>
                <w:lang w:eastAsia="pl-PL"/>
              </w:rPr>
              <w:t>em</w:t>
            </w:r>
            <w:proofErr w:type="spellEnd"/>
            <w:r w:rsidR="0052643B" w:rsidRPr="00154BF9">
              <w:rPr>
                <w:rFonts w:ascii="Times New Roman" w:hAnsi="Times New Roman" w:cs="Times New Roman"/>
                <w:sz w:val="20"/>
                <w:szCs w:val="20"/>
              </w:rPr>
              <w:t xml:space="preserve"> </w:t>
            </w:r>
            <w:r w:rsidR="00843ABB"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F37E0B" w:rsidRPr="00154BF9">
              <w:rPr>
                <w:rFonts w:ascii="Times New Roman" w:eastAsia="Times New Roman" w:hAnsi="Times New Roman" w:cs="Times New Roman"/>
                <w:sz w:val="20"/>
                <w:szCs w:val="20"/>
                <w:lang w:eastAsia="pl-PL"/>
              </w:rPr>
              <w:t>upadacytyni</w:t>
            </w:r>
            <w:r w:rsidR="000D7B59" w:rsidRPr="00154BF9">
              <w:rPr>
                <w:rFonts w:ascii="Times New Roman" w:eastAsia="Times New Roman" w:hAnsi="Times New Roman" w:cs="Times New Roman"/>
                <w:sz w:val="20"/>
                <w:szCs w:val="20"/>
                <w:lang w:eastAsia="pl-PL"/>
              </w:rPr>
              <w:t>bem</w:t>
            </w:r>
            <w:proofErr w:type="spellEnd"/>
            <w:r w:rsidR="00843ABB" w:rsidRPr="00154BF9">
              <w:rPr>
                <w:rFonts w:ascii="Times New Roman" w:eastAsia="Times New Roman" w:hAnsi="Times New Roman" w:cs="Times New Roman"/>
                <w:sz w:val="20"/>
                <w:szCs w:val="20"/>
                <w:lang w:eastAsia="pl-PL"/>
              </w:rPr>
              <w:t xml:space="preserve"> albo</w:t>
            </w:r>
            <w:r w:rsidR="0004021B"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filgotynibem</w:t>
            </w:r>
            <w:proofErr w:type="spellEnd"/>
            <w:r w:rsidR="00EA4A2E" w:rsidRPr="00154BF9">
              <w:rPr>
                <w:rFonts w:ascii="Times New Roman" w:eastAsia="Times New Roman" w:hAnsi="Times New Roman" w:cs="Times New Roman"/>
                <w:sz w:val="20"/>
                <w:szCs w:val="20"/>
                <w:lang w:eastAsia="pl-PL"/>
              </w:rPr>
              <w:t xml:space="preserve"> 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niespełnienia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wiedzą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medyczną.</w:t>
            </w:r>
          </w:p>
          <w:p w14:paraId="793CE331" w14:textId="02335E15" w:rsidR="0098462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 przypadku kobiet wymagana jest zgoda na świadomą kontrolę urodzeń, zgodnie z Charakterystyką Produktu Leczniczego leku, którym odbywa się leczenie w programie lekowym.</w:t>
            </w:r>
          </w:p>
          <w:p w14:paraId="2FE4CF27" w14:textId="4644D4C7" w:rsidR="0098462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ciąży lub karmienia piersią dopuszcza się możliwość leczenia uzasadnioną aktualną wiedzą medyczną - do decyzji lekarza prowadzącego.</w:t>
            </w:r>
          </w:p>
          <w:p w14:paraId="77EBEAD9" w14:textId="03EEE8D2" w:rsidR="0098462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Adekwatna wydolność narządowa określona na podstawie wyników badań laboratoryjnych krwi zgodnie z zapisami aktualnej Charakterystyki Produktu Leczniczego (zwanej dalej ChPL).</w:t>
            </w:r>
          </w:p>
          <w:p w14:paraId="309D8550" w14:textId="3EB08260" w:rsidR="0098462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Nieobecność istotnych schorzeń współistniejących stanowiących przeciwskazanie do terapii stwierdzonych przez lekarza prowadzącego w oparciu o aktualną ChPL.</w:t>
            </w:r>
          </w:p>
          <w:p w14:paraId="6869E8BC" w14:textId="1CA5FFA9" w:rsidR="004038D2" w:rsidRPr="00154BF9" w:rsidRDefault="00984622"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przeciwwskazań do stosowania określonej w aktualnej ChPL substancji czynnej ujętej w programie lekowym, z uwzględnieniem rekomendacji EULAR/ ACR.</w:t>
            </w:r>
          </w:p>
          <w:p w14:paraId="68F0A7E4" w14:textId="6BF5CF33" w:rsidR="00604F32" w:rsidRDefault="00604F32" w:rsidP="007F271B">
            <w:pPr>
              <w:spacing w:after="60" w:line="276" w:lineRule="auto"/>
              <w:ind w:left="22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Ponadto do programu lekowego kwalifikowani są pacjenci wymagający kontynuacji leczenia, którzy byli leczeni substancjami czynnymi finansowanymi w programie lekowym w ramach innego sposobu finansowania terapii (za wyjątkiem trwających badań klinicznych tych leków), pod warunkiem, że w chwili rozpoczęcia leczenia spełniali kryteria kwalifikacji do programu lekowego.</w:t>
            </w:r>
          </w:p>
          <w:p w14:paraId="3E36179F" w14:textId="77777777" w:rsidR="004F7B25" w:rsidRPr="00154BF9" w:rsidRDefault="004F7B25" w:rsidP="007F271B">
            <w:pPr>
              <w:spacing w:after="60" w:line="276" w:lineRule="auto"/>
              <w:ind w:left="227"/>
              <w:jc w:val="both"/>
              <w:rPr>
                <w:rFonts w:ascii="Times New Roman" w:eastAsia="Times New Roman" w:hAnsi="Times New Roman" w:cs="Times New Roman"/>
                <w:sz w:val="20"/>
                <w:szCs w:val="20"/>
                <w:lang w:eastAsia="pl-PL"/>
              </w:rPr>
            </w:pPr>
          </w:p>
          <w:p w14:paraId="0EF0979D" w14:textId="21E7DF8B" w:rsidR="009D7AE1" w:rsidRPr="004F7B25" w:rsidRDefault="009D7AE1" w:rsidP="007F271B">
            <w:pPr>
              <w:pStyle w:val="Akapitzlist"/>
              <w:numPr>
                <w:ilvl w:val="0"/>
                <w:numId w:val="19"/>
              </w:numPr>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Czas</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leczenia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w</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programie</w:t>
            </w:r>
          </w:p>
          <w:p w14:paraId="46FDAC84" w14:textId="42517A64" w:rsidR="0079148F" w:rsidRDefault="0079148F" w:rsidP="007F271B">
            <w:pPr>
              <w:pStyle w:val="Akapitzlist"/>
              <w:numPr>
                <w:ilvl w:val="3"/>
                <w:numId w:val="19"/>
              </w:numPr>
              <w:spacing w:after="60" w:line="276" w:lineRule="auto"/>
              <w:contextualSpacing w:val="0"/>
              <w:jc w:val="both"/>
              <w:rPr>
                <w:rFonts w:ascii="Times New Roman" w:eastAsia="Times New Roman" w:hAnsi="Times New Roman" w:cs="Times New Roman"/>
                <w:bCs/>
                <w:sz w:val="20"/>
                <w:szCs w:val="20"/>
                <w:lang w:eastAsia="pl-PL"/>
              </w:rPr>
            </w:pPr>
            <w:r w:rsidRPr="00154BF9">
              <w:rPr>
                <w:rFonts w:ascii="Times New Roman" w:eastAsia="Times New Roman" w:hAnsi="Times New Roman" w:cs="Times New Roman"/>
                <w:bCs/>
                <w:sz w:val="20"/>
                <w:szCs w:val="20"/>
                <w:lang w:eastAsia="pl-PL"/>
              </w:rPr>
              <w:t>leczenie trwa do czasu podjęcia przez Zespół Koordynacyjny lub lekarza prowadzącego decyzji o wyłączeniu świadczeniobiorcy z programu, zgodnie z kryteriami wyłączenia</w:t>
            </w:r>
            <w:r w:rsidR="00813190" w:rsidRPr="00154BF9">
              <w:rPr>
                <w:rFonts w:ascii="Times New Roman" w:eastAsia="Times New Roman" w:hAnsi="Times New Roman" w:cs="Times New Roman"/>
                <w:bCs/>
                <w:sz w:val="20"/>
                <w:szCs w:val="20"/>
                <w:lang w:eastAsia="pl-PL"/>
              </w:rPr>
              <w:t>.</w:t>
            </w:r>
          </w:p>
          <w:p w14:paraId="23459392" w14:textId="77777777" w:rsidR="004F7B25" w:rsidRPr="004F7B25" w:rsidRDefault="004F7B25" w:rsidP="007F271B">
            <w:pPr>
              <w:spacing w:after="60" w:line="276" w:lineRule="auto"/>
              <w:ind w:left="227"/>
              <w:jc w:val="both"/>
              <w:rPr>
                <w:rFonts w:ascii="Times New Roman" w:eastAsia="Times New Roman" w:hAnsi="Times New Roman" w:cs="Times New Roman"/>
                <w:bCs/>
                <w:sz w:val="20"/>
                <w:szCs w:val="20"/>
                <w:lang w:eastAsia="pl-PL"/>
              </w:rPr>
            </w:pPr>
          </w:p>
          <w:p w14:paraId="5D919E53" w14:textId="12361C1A" w:rsidR="009D7AE1" w:rsidRPr="004F7B25" w:rsidRDefault="009D7AE1" w:rsidP="007F271B">
            <w:pPr>
              <w:pStyle w:val="Akapitzlist"/>
              <w:numPr>
                <w:ilvl w:val="0"/>
                <w:numId w:val="19"/>
              </w:numPr>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wyłączenia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z</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programu</w:t>
            </w:r>
          </w:p>
          <w:p w14:paraId="3673B4A3" w14:textId="320DD735" w:rsidR="009D7AE1" w:rsidRPr="00154BF9" w:rsidRDefault="00210416"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w:t>
            </w:r>
            <w:r w:rsidR="009D7AE1" w:rsidRPr="00154BF9">
              <w:rPr>
                <w:rFonts w:ascii="Times New Roman" w:eastAsia="Times New Roman" w:hAnsi="Times New Roman" w:cs="Times New Roman"/>
                <w:sz w:val="20"/>
                <w:szCs w:val="20"/>
                <w:lang w:eastAsia="pl-PL"/>
              </w:rPr>
              <w:t>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D65BA7"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D65BA7"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52643B" w:rsidRPr="00154BF9">
              <w:rPr>
                <w:rFonts w:ascii="Times New Roman" w:eastAsia="Times New Roman" w:hAnsi="Times New Roman" w:cs="Times New Roman"/>
                <w:sz w:val="20"/>
                <w:szCs w:val="20"/>
                <w:lang w:eastAsia="pl-PL"/>
              </w:rPr>
              <w:t xml:space="preserve"> </w:t>
            </w:r>
            <w:r w:rsidR="0004021B" w:rsidRPr="00154BF9">
              <w:t xml:space="preserve"> </w:t>
            </w:r>
            <w:r w:rsidR="0004021B" w:rsidRPr="00154BF9">
              <w:rPr>
                <w:rFonts w:ascii="Times New Roman" w:eastAsia="Times New Roman" w:hAnsi="Times New Roman" w:cs="Times New Roman"/>
                <w:sz w:val="20"/>
                <w:szCs w:val="20"/>
                <w:lang w:eastAsia="pl-PL"/>
              </w:rPr>
              <w:t xml:space="preserve">albo </w:t>
            </w:r>
            <w:proofErr w:type="spellStart"/>
            <w:r w:rsidR="0004021B" w:rsidRPr="00154BF9">
              <w:rPr>
                <w:rFonts w:ascii="Times New Roman" w:eastAsia="Times New Roman" w:hAnsi="Times New Roman" w:cs="Times New Roman"/>
                <w:sz w:val="20"/>
                <w:szCs w:val="20"/>
                <w:lang w:eastAsia="pl-PL"/>
              </w:rPr>
              <w:t>filgotynibu</w:t>
            </w:r>
            <w:proofErr w:type="spellEnd"/>
            <w:r w:rsidR="0004021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umiarkowanej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mierzonej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wskaźnikiem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5,1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≤3,7,</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lastRenderedPageBreak/>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2140C4" w:rsidRPr="00154BF9">
              <w:rPr>
                <w:rFonts w:ascii="Times New Roman" w:eastAsia="Times New Roman" w:hAnsi="Times New Roman" w:cs="Times New Roman"/>
                <w:sz w:val="20"/>
                <w:szCs w:val="20"/>
                <w:lang w:eastAsia="pl-PL"/>
              </w:rPr>
              <w:t>upadacytynibu</w:t>
            </w:r>
            <w:proofErr w:type="spellEnd"/>
            <w:r w:rsidR="0052643B" w:rsidRPr="00154BF9">
              <w:rPr>
                <w:rFonts w:ascii="Times New Roman" w:eastAsia="Times New Roman" w:hAnsi="Times New Roman" w:cs="Times New Roman"/>
                <w:sz w:val="20"/>
                <w:szCs w:val="20"/>
                <w:lang w:eastAsia="pl-PL"/>
              </w:rPr>
              <w:t xml:space="preserve"> </w:t>
            </w:r>
            <w:r w:rsidR="00494CF1" w:rsidRPr="00154BF9">
              <w:rPr>
                <w:rFonts w:ascii="Times New Roman" w:eastAsia="Times New Roman" w:hAnsi="Times New Roman" w:cs="Times New Roman"/>
                <w:sz w:val="20"/>
                <w:szCs w:val="20"/>
                <w:lang w:eastAsia="pl-PL"/>
              </w:rPr>
              <w:t xml:space="preserve">albo </w:t>
            </w:r>
            <w:proofErr w:type="spellStart"/>
            <w:r w:rsidR="00494CF1" w:rsidRPr="00154BF9">
              <w:rPr>
                <w:rFonts w:ascii="Times New Roman" w:eastAsia="Times New Roman" w:hAnsi="Times New Roman" w:cs="Times New Roman"/>
                <w:sz w:val="20"/>
                <w:szCs w:val="20"/>
                <w:lang w:eastAsia="pl-PL"/>
              </w:rPr>
              <w:t>filgotynibu</w:t>
            </w:r>
            <w:proofErr w:type="spellEnd"/>
            <w:r w:rsidR="00494CF1"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anakinry</w:t>
            </w:r>
            <w:proofErr w:type="spellEnd"/>
            <w:r w:rsidR="006E514E">
              <w:rPr>
                <w:rFonts w:ascii="Times New Roman" w:eastAsia="Times New Roman" w:hAnsi="Times New Roman" w:cs="Times New Roman"/>
                <w:sz w:val="20"/>
                <w:szCs w:val="20"/>
                <w:lang w:eastAsia="pl-PL"/>
              </w:rPr>
              <w:t xml:space="preserve"> </w:t>
            </w:r>
            <w:r w:rsidR="006E514E">
              <w:t xml:space="preserve"> </w:t>
            </w:r>
            <w:r w:rsidR="006E514E" w:rsidRPr="006E514E">
              <w:rPr>
                <w:rFonts w:ascii="Times New Roman" w:eastAsia="Times New Roman" w:hAnsi="Times New Roman" w:cs="Times New Roman"/>
                <w:sz w:val="20"/>
                <w:szCs w:val="20"/>
                <w:lang w:eastAsia="pl-PL"/>
              </w:rPr>
              <w:t xml:space="preserve">albo </w:t>
            </w:r>
            <w:proofErr w:type="spellStart"/>
            <w:r w:rsidR="006E514E" w:rsidRPr="006E514E">
              <w:rPr>
                <w:rFonts w:ascii="Times New Roman" w:eastAsia="Times New Roman" w:hAnsi="Times New Roman" w:cs="Times New Roman"/>
                <w:sz w:val="20"/>
                <w:szCs w:val="20"/>
                <w:lang w:eastAsia="pl-PL"/>
              </w:rPr>
              <w:t>kanakinumabu</w:t>
            </w:r>
            <w:proofErr w:type="spellEnd"/>
            <w:r w:rsidR="006E514E">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znacznego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p>
          <w:p w14:paraId="0FE5ACEE" w14:textId="5805E4D1" w:rsidR="009D7AE1" w:rsidRPr="00154BF9" w:rsidRDefault="00210416"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w:t>
            </w:r>
            <w:r w:rsidR="009D7AE1" w:rsidRPr="00154BF9">
              <w:rPr>
                <w:rFonts w:ascii="Times New Roman" w:eastAsia="Times New Roman" w:hAnsi="Times New Roman" w:cs="Times New Roman"/>
                <w:sz w:val="20"/>
                <w:szCs w:val="20"/>
                <w:lang w:eastAsia="pl-PL"/>
              </w:rPr>
              <w:t>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F924F7"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substancj</w:t>
            </w:r>
            <w:r w:rsidR="00390D64"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390D6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90D64"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04021B" w:rsidRPr="00154BF9">
              <w:t xml:space="preserve"> </w:t>
            </w:r>
            <w:r w:rsidR="0004021B" w:rsidRPr="00154BF9">
              <w:rPr>
                <w:rFonts w:ascii="Times New Roman" w:eastAsia="Times New Roman" w:hAnsi="Times New Roman" w:cs="Times New Roman"/>
                <w:sz w:val="20"/>
                <w:szCs w:val="20"/>
                <w:lang w:eastAsia="pl-PL"/>
              </w:rPr>
              <w:t xml:space="preserve">albo </w:t>
            </w:r>
            <w:proofErr w:type="spellStart"/>
            <w:r w:rsidR="0004021B" w:rsidRPr="00154BF9">
              <w:rPr>
                <w:rFonts w:ascii="Times New Roman" w:eastAsia="Times New Roman" w:hAnsi="Times New Roman" w:cs="Times New Roman"/>
                <w:sz w:val="20"/>
                <w:szCs w:val="20"/>
                <w:lang w:eastAsia="pl-PL"/>
              </w:rPr>
              <w:t>filgotynibu</w:t>
            </w:r>
            <w:proofErr w:type="spellEnd"/>
            <w:r w:rsidR="00CA0EC2"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gdy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osiągnięcie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czasie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możliwe.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3,2</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≤2,4,</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11.</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Miernikiem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2,6</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≤1,6,</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3,3</w:t>
            </w:r>
            <w:r w:rsidR="0052643B" w:rsidRPr="00154BF9">
              <w:rPr>
                <w:rFonts w:ascii="Times New Roman" w:hAnsi="Times New Roman" w:cs="Times New Roman"/>
                <w:sz w:val="20"/>
                <w:szCs w:val="20"/>
              </w:rPr>
              <w:t xml:space="preserve"> </w:t>
            </w:r>
            <w:r w:rsidR="003B636C"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inhibitora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2140C4"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2140C4" w:rsidRPr="00154BF9">
              <w:rPr>
                <w:rFonts w:ascii="Times New Roman" w:eastAsia="Times New Roman" w:hAnsi="Times New Roman" w:cs="Times New Roman"/>
                <w:sz w:val="20"/>
                <w:szCs w:val="20"/>
                <w:lang w:eastAsia="pl-PL"/>
              </w:rPr>
              <w:t>upadacytynibu</w:t>
            </w:r>
            <w:proofErr w:type="spellEnd"/>
            <w:r w:rsidR="00906D15" w:rsidRPr="00154BF9">
              <w:rPr>
                <w:rFonts w:ascii="Times New Roman" w:eastAsia="Times New Roman" w:hAnsi="Times New Roman" w:cs="Times New Roman"/>
                <w:sz w:val="20"/>
                <w:szCs w:val="20"/>
                <w:lang w:eastAsia="pl-PL"/>
              </w:rPr>
              <w:t xml:space="preserve"> albo </w:t>
            </w:r>
            <w:proofErr w:type="spellStart"/>
            <w:r w:rsidR="00906D15" w:rsidRPr="00154BF9">
              <w:rPr>
                <w:rFonts w:ascii="Times New Roman" w:eastAsia="Times New Roman" w:hAnsi="Times New Roman" w:cs="Times New Roman"/>
                <w:sz w:val="20"/>
                <w:szCs w:val="20"/>
                <w:lang w:eastAsia="pl-PL"/>
              </w:rPr>
              <w:t>filgotynibu</w:t>
            </w:r>
            <w:proofErr w:type="spellEnd"/>
            <w:r w:rsidR="00906D15"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3B636C" w:rsidRPr="00154BF9">
              <w:rPr>
                <w:rFonts w:ascii="Times New Roman" w:eastAsia="Times New Roman" w:hAnsi="Times New Roman" w:cs="Times New Roman"/>
                <w:sz w:val="20"/>
                <w:szCs w:val="20"/>
                <w:lang w:eastAsia="pl-PL"/>
              </w:rPr>
              <w:t>anakinry</w:t>
            </w:r>
            <w:proofErr w:type="spellEnd"/>
            <w:r w:rsidR="006E514E">
              <w:t xml:space="preserve"> </w:t>
            </w:r>
            <w:r w:rsidR="006E514E" w:rsidRPr="006E514E">
              <w:rPr>
                <w:rFonts w:ascii="Times New Roman" w:eastAsia="Times New Roman" w:hAnsi="Times New Roman" w:cs="Times New Roman"/>
                <w:sz w:val="20"/>
                <w:szCs w:val="20"/>
                <w:lang w:eastAsia="pl-PL"/>
              </w:rPr>
              <w:t xml:space="preserve">albo </w:t>
            </w:r>
            <w:proofErr w:type="spellStart"/>
            <w:r w:rsidR="006E514E" w:rsidRPr="006E514E">
              <w:rPr>
                <w:rFonts w:ascii="Times New Roman" w:eastAsia="Times New Roman" w:hAnsi="Times New Roman" w:cs="Times New Roman"/>
                <w:sz w:val="20"/>
                <w:szCs w:val="20"/>
                <w:lang w:eastAsia="pl-PL"/>
              </w:rPr>
              <w:t>kanakinumabu</w:t>
            </w:r>
            <w:proofErr w:type="spellEnd"/>
            <w:r w:rsidR="006E514E">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ustąpienia</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B636C"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p>
          <w:p w14:paraId="7927E685" w14:textId="28747B72" w:rsidR="009D7AE1" w:rsidRPr="00154BF9" w:rsidRDefault="00210416"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wizyt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monitorujących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zaostrzenia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przestaje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spełniać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było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możliwe</w:t>
            </w:r>
            <w:r w:rsidRPr="00154BF9">
              <w:rPr>
                <w:rFonts w:ascii="Times New Roman" w:eastAsia="Times New Roman" w:hAnsi="Times New Roman" w:cs="Times New Roman"/>
                <w:sz w:val="20"/>
                <w:szCs w:val="20"/>
                <w:lang w:eastAsia="pl-PL"/>
              </w:rPr>
              <w:t>.</w:t>
            </w:r>
          </w:p>
          <w:p w14:paraId="358425C1" w14:textId="66E00004"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chorób lub stanów, które w opinii Zespołu Koordynacyjnego lub lekarza prowadzącego uniemożliwiają dalsze prowadzenie leczenia.</w:t>
            </w:r>
          </w:p>
          <w:p w14:paraId="29A91F47" w14:textId="1F5F7CA4"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objawów nadwrażliwości na którąkolwiek substancję czynną lub substancję pomocniczą.</w:t>
            </w:r>
          </w:p>
          <w:p w14:paraId="5821A92E" w14:textId="62143D1A"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toksyczności wymagającej zakończenia leczenia w opinii Zespołu Koordynacyjnego lub lekarza prowadzącego zgodnie z aktualną ChPL.</w:t>
            </w:r>
          </w:p>
          <w:p w14:paraId="1E642101" w14:textId="7B45BDB5"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Pogorszenie jakości życia o istotnym znaczeniu według oceny lekarza.</w:t>
            </w:r>
          </w:p>
          <w:p w14:paraId="0252EE4C" w14:textId="295C6120" w:rsidR="00C13F65" w:rsidRPr="00154BF9" w:rsidRDefault="00C13F65"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współpracy lub nieprzestrzeganie zaleceń lekarskich, w tym zwłaszcza dotyczących okresowych badań kontrolnych oceniających skuteczność i bezpieczeństwo leczenia ze strony świadczeniobiorcy lub jego opiekuna prawnego</w:t>
            </w:r>
            <w:r w:rsidR="00BB4625" w:rsidRPr="00154BF9">
              <w:rPr>
                <w:rFonts w:ascii="Times New Roman" w:eastAsia="Times New Roman" w:hAnsi="Times New Roman" w:cs="Times New Roman"/>
                <w:sz w:val="20"/>
                <w:szCs w:val="20"/>
                <w:lang w:eastAsia="pl-PL"/>
              </w:rPr>
              <w:t>.</w:t>
            </w:r>
          </w:p>
          <w:p w14:paraId="7EA6F568" w14:textId="1C2AC638" w:rsidR="009D7AE1" w:rsidRPr="00154BF9" w:rsidRDefault="00210416"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hAnsi="Times New Roman" w:cs="Times New Roman"/>
                <w:sz w:val="20"/>
                <w:szCs w:val="20"/>
              </w:rPr>
              <w:lastRenderedPageBreak/>
              <w:t>L</w:t>
            </w:r>
            <w:r w:rsidR="009D7AE1" w:rsidRPr="00154BF9">
              <w:rPr>
                <w:rFonts w:ascii="Times New Roman" w:hAnsi="Times New Roman" w:cs="Times New Roman"/>
                <w:sz w:val="20"/>
                <w:szCs w:val="20"/>
              </w:rPr>
              <w:t>ekarz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prowadzący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może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zwrócić</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się</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Zespołu</w:t>
            </w:r>
            <w:r w:rsidR="0052643B" w:rsidRPr="00154BF9">
              <w:rPr>
                <w:rFonts w:ascii="Times New Roman" w:hAnsi="Times New Roman" w:cs="Times New Roman"/>
                <w:sz w:val="20"/>
                <w:szCs w:val="20"/>
              </w:rPr>
              <w:t xml:space="preserve"> </w:t>
            </w:r>
            <w:r w:rsidR="00696524" w:rsidRPr="00154BF9">
              <w:rPr>
                <w:rFonts w:ascii="Times New Roman" w:hAnsi="Times New Roman" w:cs="Times New Roman"/>
                <w:sz w:val="20"/>
                <w:szCs w:val="20"/>
              </w:rPr>
              <w:t xml:space="preserve">Koordynacyjnego </w:t>
            </w:r>
            <w:r w:rsidR="00696524" w:rsidRPr="00154BF9">
              <w:rPr>
                <w:rFonts w:ascii="Times New Roman" w:eastAsia="Times New Roman" w:hAnsi="Times New Roman" w:cs="Times New Roman"/>
                <w:sz w:val="20"/>
                <w:szCs w:val="20"/>
                <w:lang w:eastAsia="pl-PL"/>
              </w:rPr>
              <w:t>ds.</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Biologicznego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Chorobach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Reumatycznych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wyrażenie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kontynuację</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substancją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uzasadnionych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sytuacjach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klinicznych</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przypadku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nieuzyskania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przez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niskiej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pkt</w:t>
            </w:r>
            <w:r w:rsidR="0052643B" w:rsidRPr="00154BF9">
              <w:rPr>
                <w:rFonts w:ascii="Times New Roman" w:hAnsi="Times New Roman" w:cs="Times New Roman"/>
                <w:sz w:val="20"/>
                <w:szCs w:val="20"/>
              </w:rPr>
              <w:t xml:space="preserve"> </w:t>
            </w:r>
            <w:r w:rsidR="00C13F65" w:rsidRPr="00154BF9">
              <w:rPr>
                <w:rFonts w:ascii="Times New Roman" w:hAnsi="Times New Roman" w:cs="Times New Roman"/>
                <w:sz w:val="20"/>
                <w:szCs w:val="20"/>
              </w:rPr>
              <w:t>3</w:t>
            </w:r>
            <w:r w:rsidR="0052643B" w:rsidRPr="00154BF9">
              <w:rPr>
                <w:rFonts w:ascii="Times New Roman" w:hAnsi="Times New Roman" w:cs="Times New Roman"/>
                <w:sz w:val="20"/>
                <w:szCs w:val="20"/>
              </w:rPr>
              <w:t xml:space="preserve"> </w:t>
            </w:r>
            <w:proofErr w:type="spellStart"/>
            <w:r w:rsidR="009D7AE1" w:rsidRPr="00154BF9">
              <w:rPr>
                <w:rFonts w:ascii="Times New Roman" w:hAnsi="Times New Roman" w:cs="Times New Roman"/>
                <w:sz w:val="20"/>
                <w:szCs w:val="20"/>
              </w:rPr>
              <w:t>ppkt</w:t>
            </w:r>
            <w:proofErr w:type="spellEnd"/>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2,</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szczególnie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pacjentów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wyjściową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bardzo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dużą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i/lub</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występowaniem</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czynników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złej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prognozy.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Bez</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zgody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Zespołu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Koordynacyjnego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dalsze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leczenie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daną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substancją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czynną</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w</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przypadku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braku</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uzyskania</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niskiej</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aktywności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choroby</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po</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6</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miesiącach</w:t>
            </w:r>
            <w:r w:rsidR="0052643B" w:rsidRPr="00154BF9">
              <w:rPr>
                <w:rFonts w:ascii="Times New Roman" w:hAnsi="Times New Roman" w:cs="Times New Roman"/>
                <w:sz w:val="20"/>
                <w:szCs w:val="20"/>
              </w:rPr>
              <w:t xml:space="preserve"> </w:t>
            </w:r>
            <w:r w:rsidR="00556656" w:rsidRPr="00154BF9">
              <w:rPr>
                <w:rFonts w:ascii="Times New Roman" w:hAnsi="Times New Roman" w:cs="Times New Roman"/>
                <w:sz w:val="20"/>
                <w:szCs w:val="20"/>
              </w:rPr>
              <w:t>(</w:t>
            </w:r>
            <w:r w:rsidR="00556656"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miesiąc)</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terapii</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nie</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jest</w:t>
            </w:r>
            <w:r w:rsidR="0052643B" w:rsidRPr="00154BF9">
              <w:rPr>
                <w:rFonts w:ascii="Times New Roman" w:hAnsi="Times New Roman" w:cs="Times New Roman"/>
                <w:sz w:val="20"/>
                <w:szCs w:val="20"/>
              </w:rPr>
              <w:t xml:space="preserve"> </w:t>
            </w:r>
            <w:r w:rsidR="009D7AE1" w:rsidRPr="00154BF9">
              <w:rPr>
                <w:rFonts w:ascii="Times New Roman" w:hAnsi="Times New Roman" w:cs="Times New Roman"/>
                <w:sz w:val="20"/>
                <w:szCs w:val="20"/>
              </w:rPr>
              <w:t>możliwe.</w:t>
            </w:r>
          </w:p>
          <w:p w14:paraId="662180E1" w14:textId="77777777" w:rsidR="009D7AE1" w:rsidRPr="00154BF9" w:rsidRDefault="009D7AE1" w:rsidP="007F271B">
            <w:pPr>
              <w:spacing w:after="60" w:line="276" w:lineRule="auto"/>
              <w:ind w:left="357"/>
              <w:jc w:val="both"/>
              <w:rPr>
                <w:rFonts w:ascii="Times New Roman" w:eastAsia="Times New Roman" w:hAnsi="Times New Roman" w:cs="Times New Roman"/>
                <w:sz w:val="20"/>
                <w:szCs w:val="20"/>
                <w:lang w:eastAsia="pl-PL"/>
              </w:rPr>
            </w:pPr>
          </w:p>
          <w:p w14:paraId="2E5A195F" w14:textId="07289B5E" w:rsidR="009D7AE1" w:rsidRPr="00154BF9" w:rsidRDefault="009D7AE1" w:rsidP="007F271B">
            <w:pPr>
              <w:numPr>
                <w:ilvl w:val="0"/>
                <w:numId w:val="19"/>
              </w:numPr>
              <w:spacing w:after="60" w:line="276" w:lineRule="auto"/>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Kryteria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ponownego</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włączenia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do</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518C1EFD" w14:textId="48714B9C"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FC70C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FC70C1" w:rsidRPr="00154BF9">
              <w:rPr>
                <w:rFonts w:ascii="Times New Roman" w:eastAsia="Times New Roman" w:hAnsi="Times New Roman" w:cs="Times New Roman"/>
                <w:sz w:val="20"/>
                <w:szCs w:val="20"/>
                <w:lang w:eastAsia="pl-PL"/>
              </w:rPr>
              <w:t>baricytynib</w:t>
            </w:r>
            <w:r w:rsidR="000357FD" w:rsidRPr="00154BF9">
              <w:rPr>
                <w:rFonts w:ascii="Times New Roman" w:eastAsia="Times New Roman" w:hAnsi="Times New Roman" w:cs="Times New Roman"/>
                <w:sz w:val="20"/>
                <w:szCs w:val="20"/>
                <w:lang w:eastAsia="pl-PL"/>
              </w:rPr>
              <w:t>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04021B" w:rsidRPr="00154BF9">
              <w:t xml:space="preserve"> </w:t>
            </w:r>
            <w:r w:rsidR="0004021B" w:rsidRPr="00154BF9">
              <w:rPr>
                <w:rFonts w:ascii="Times New Roman" w:hAnsi="Times New Roman" w:cs="Times New Roman"/>
                <w:sz w:val="20"/>
                <w:szCs w:val="20"/>
              </w:rPr>
              <w:t>lub</w:t>
            </w:r>
            <w:r w:rsidR="0004021B"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filgotynibu</w:t>
            </w:r>
            <w:proofErr w:type="spellEnd"/>
            <w:r w:rsidR="00696524" w:rsidRPr="00154BF9">
              <w:rPr>
                <w:rFonts w:ascii="Times New Roman" w:eastAsia="Times New Roman" w:hAnsi="Times New Roman" w:cs="Times New Roman"/>
                <w:sz w:val="20"/>
                <w:szCs w:val="20"/>
                <w:lang w:eastAsia="pl-PL"/>
              </w:rPr>
              <w:t xml:space="preserve"> 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zapisami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uzyskania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remisji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niskiej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p>
          <w:p w14:paraId="078DA2B6" w14:textId="7740BF3F" w:rsidR="009D7AE1" w:rsidRPr="00154BF9" w:rsidRDefault="009D7AE1" w:rsidP="007F271B">
            <w:pPr>
              <w:numPr>
                <w:ilvl w:val="3"/>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350537"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stosunku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obliczonej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momencie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tofacytynibu</w:t>
            </w:r>
            <w:proofErr w:type="spellEnd"/>
            <w:r w:rsidR="0052643B" w:rsidRPr="00154BF9">
              <w:rPr>
                <w:rFonts w:ascii="Times New Roman" w:eastAsia="Times New Roman" w:hAnsi="Times New Roman" w:cs="Times New Roman"/>
                <w:sz w:val="20"/>
                <w:szCs w:val="20"/>
                <w:lang w:eastAsia="pl-PL"/>
              </w:rPr>
              <w:t xml:space="preserve"> </w:t>
            </w:r>
            <w:r w:rsidR="000357F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0357FD" w:rsidRPr="00154BF9">
              <w:rPr>
                <w:rFonts w:ascii="Times New Roman" w:eastAsia="Times New Roman" w:hAnsi="Times New Roman" w:cs="Times New Roman"/>
                <w:sz w:val="20"/>
                <w:szCs w:val="20"/>
                <w:lang w:eastAsia="pl-PL"/>
              </w:rPr>
              <w:t>baricytynibu</w:t>
            </w:r>
            <w:proofErr w:type="spellEnd"/>
            <w:r w:rsidR="0052643B" w:rsidRPr="00154BF9">
              <w:rPr>
                <w:rFonts w:ascii="Times New Roman" w:eastAsia="Times New Roman" w:hAnsi="Times New Roman" w:cs="Times New Roman"/>
                <w:sz w:val="20"/>
                <w:szCs w:val="20"/>
                <w:lang w:eastAsia="pl-PL"/>
              </w:rPr>
              <w:t xml:space="preserve"> </w:t>
            </w:r>
            <w:r w:rsidR="008C15A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8C15AD" w:rsidRPr="00154BF9">
              <w:rPr>
                <w:rFonts w:ascii="Times New Roman" w:eastAsia="Times New Roman" w:hAnsi="Times New Roman" w:cs="Times New Roman"/>
                <w:sz w:val="20"/>
                <w:szCs w:val="20"/>
                <w:lang w:eastAsia="pl-PL"/>
              </w:rPr>
              <w:t>upadacytynibu</w:t>
            </w:r>
            <w:proofErr w:type="spellEnd"/>
            <w:r w:rsidR="00342F2A" w:rsidRPr="00154BF9">
              <w:t xml:space="preserve"> </w:t>
            </w:r>
            <w:r w:rsidR="00342F2A" w:rsidRPr="00154BF9">
              <w:rPr>
                <w:rFonts w:ascii="Times New Roman" w:eastAsia="Times New Roman" w:hAnsi="Times New Roman" w:cs="Times New Roman"/>
                <w:sz w:val="20"/>
                <w:szCs w:val="20"/>
                <w:lang w:eastAsia="pl-PL"/>
              </w:rPr>
              <w:t xml:space="preserve">lub </w:t>
            </w:r>
            <w:proofErr w:type="spellStart"/>
            <w:r w:rsidR="00342F2A" w:rsidRPr="00154BF9">
              <w:rPr>
                <w:rFonts w:ascii="Times New Roman" w:eastAsia="Times New Roman" w:hAnsi="Times New Roman" w:cs="Times New Roman"/>
                <w:sz w:val="20"/>
                <w:szCs w:val="20"/>
                <w:lang w:eastAsia="pl-PL"/>
              </w:rPr>
              <w:t>filgotynibu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nastąpił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wzrost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p>
          <w:p w14:paraId="2BDC36FD" w14:textId="525C84B6" w:rsidR="00FA0590"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3,2</w:t>
            </w:r>
            <w:r w:rsidR="0052643B" w:rsidRPr="00154BF9">
              <w:rPr>
                <w:rFonts w:ascii="Times New Roman" w:eastAsia="Times New Roman" w:hAnsi="Times New Roman" w:cs="Times New Roman"/>
                <w:sz w:val="20"/>
                <w:szCs w:val="20"/>
                <w:lang w:eastAsia="pl-PL"/>
              </w:rPr>
              <w:t xml:space="preserve"> </w:t>
            </w:r>
          </w:p>
          <w:p w14:paraId="5FA7C894" w14:textId="1238E600"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4F9F1EF8" w14:textId="164F6049" w:rsidR="00FA0590"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2,4</w:t>
            </w:r>
            <w:r w:rsidR="0052643B" w:rsidRPr="00154BF9">
              <w:rPr>
                <w:rFonts w:ascii="Times New Roman" w:eastAsia="Times New Roman" w:hAnsi="Times New Roman" w:cs="Times New Roman"/>
                <w:sz w:val="20"/>
                <w:szCs w:val="20"/>
                <w:lang w:eastAsia="pl-PL"/>
              </w:rPr>
              <w:t xml:space="preserve"> </w:t>
            </w:r>
          </w:p>
          <w:p w14:paraId="42C6B2E7" w14:textId="375AEF33" w:rsidR="009D7AE1" w:rsidRPr="00154BF9" w:rsidRDefault="009D7AE1" w:rsidP="007F271B">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5BCA194A" w14:textId="4BF245AE" w:rsidR="009D7AE1" w:rsidRPr="00154BF9" w:rsidRDefault="009D7AE1" w:rsidP="007F271B">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00556656"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11.</w:t>
            </w:r>
          </w:p>
          <w:p w14:paraId="42C55D0E" w14:textId="7B016A9E" w:rsidR="003373F6" w:rsidRPr="00154BF9" w:rsidRDefault="003373F6" w:rsidP="007F271B">
            <w:pPr>
              <w:pStyle w:val="Akapitzlist"/>
              <w:numPr>
                <w:ilvl w:val="3"/>
                <w:numId w:val="19"/>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chorobą</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Stilla</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dorosłych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(AOSD)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nawrotu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p>
          <w:p w14:paraId="73390FC2" w14:textId="646CBB9C" w:rsidR="009D7AE1" w:rsidRPr="00154BF9" w:rsidRDefault="009D7AE1" w:rsidP="007F271B">
            <w:pPr>
              <w:numPr>
                <w:ilvl w:val="3"/>
                <w:numId w:val="19"/>
              </w:numPr>
              <w:spacing w:after="60" w:line="276" w:lineRule="auto"/>
              <w:ind w:right="6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wywołało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niską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hAnsi="Times New Roman" w:cs="Times New Roman"/>
                <w:sz w:val="20"/>
                <w:szCs w:val="20"/>
              </w:rPr>
              <w:t xml:space="preserve"> </w:t>
            </w:r>
            <w:r w:rsidR="003373F6"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3373F6" w:rsidRPr="00154BF9">
              <w:rPr>
                <w:rFonts w:ascii="Times New Roman" w:eastAsia="Times New Roman" w:hAnsi="Times New Roman" w:cs="Times New Roman"/>
                <w:sz w:val="20"/>
                <w:szCs w:val="20"/>
                <w:lang w:eastAsia="pl-PL"/>
              </w:rPr>
              <w:t>układowych</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6F1E8A8C" w14:textId="322C5B62" w:rsidR="009D7AE1" w:rsidRPr="00154BF9" w:rsidRDefault="009D7AE1" w:rsidP="007F271B">
            <w:pPr>
              <w:numPr>
                <w:ilvl w:val="3"/>
                <w:numId w:val="19"/>
              </w:numPr>
              <w:spacing w:after="60" w:line="276" w:lineRule="auto"/>
              <w:ind w:right="67"/>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treścią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bądź</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samą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stanowi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p>
          <w:p w14:paraId="01B60D7B" w14:textId="77777777" w:rsidR="009D7AE1" w:rsidRPr="00154BF9" w:rsidRDefault="009D7AE1" w:rsidP="00F650EC">
            <w:pPr>
              <w:spacing w:after="60" w:line="276" w:lineRule="auto"/>
              <w:jc w:val="both"/>
              <w:rPr>
                <w:rFonts w:ascii="Times New Roman" w:eastAsia="Times New Roman" w:hAnsi="Times New Roman" w:cs="Times New Roman"/>
                <w:sz w:val="20"/>
                <w:szCs w:val="20"/>
                <w:lang w:eastAsia="pl-PL"/>
              </w:rPr>
            </w:pPr>
          </w:p>
        </w:tc>
        <w:tc>
          <w:tcPr>
            <w:tcW w:w="4294" w:type="dxa"/>
            <w:tcBorders>
              <w:top w:val="single" w:sz="4" w:space="0" w:color="auto"/>
              <w:bottom w:val="single" w:sz="4" w:space="0" w:color="auto"/>
            </w:tcBorders>
          </w:tcPr>
          <w:p w14:paraId="402FDB76" w14:textId="61646198" w:rsidR="009D7AE1" w:rsidRPr="004D380C" w:rsidRDefault="009D7AE1" w:rsidP="004D380C">
            <w:pPr>
              <w:pStyle w:val="Akapitzlist"/>
              <w:numPr>
                <w:ilvl w:val="0"/>
                <w:numId w:val="21"/>
              </w:numPr>
              <w:autoSpaceDE w:val="0"/>
              <w:autoSpaceDN w:val="0"/>
              <w:adjustRightInd w:val="0"/>
              <w:spacing w:before="120"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lastRenderedPageBreak/>
              <w:t>Dawkowanie</w:t>
            </w:r>
          </w:p>
          <w:p w14:paraId="0703050E" w14:textId="75281A96" w:rsidR="009D7AE1" w:rsidRPr="00154BF9" w:rsidRDefault="009D7AE1" w:rsidP="007F271B">
            <w:pPr>
              <w:numPr>
                <w:ilvl w:val="3"/>
                <w:numId w:val="2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Inhibitory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008245AD"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008245AD" w:rsidRPr="00154BF9">
              <w:rPr>
                <w:rFonts w:ascii="Times New Roman" w:eastAsia="Times New Roman" w:hAnsi="Times New Roman" w:cs="Times New Roman"/>
                <w:sz w:val="20"/>
                <w:szCs w:val="20"/>
                <w:lang w:eastAsia="pl-PL"/>
              </w:rPr>
              <w:t>tocilizumab,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rytuksymab</w:t>
            </w:r>
            <w:proofErr w:type="spellEnd"/>
            <w:r w:rsidR="0068170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D95D33" w:rsidRPr="00154BF9">
              <w:rPr>
                <w:rFonts w:ascii="Times New Roman" w:eastAsia="Times New Roman" w:hAnsi="Times New Roman" w:cs="Times New Roman"/>
                <w:sz w:val="20"/>
                <w:szCs w:val="20"/>
                <w:lang w:eastAsia="pl-PL"/>
              </w:rPr>
              <w:t>baricytynib</w:t>
            </w:r>
            <w:proofErr w:type="spellEnd"/>
            <w:r w:rsidR="00F630E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tofacytynib</w:t>
            </w:r>
            <w:proofErr w:type="spellEnd"/>
            <w:r w:rsidR="00C172F3" w:rsidRPr="00154BF9">
              <w:rPr>
                <w:rFonts w:ascii="Times New Roman" w:eastAsia="Times New Roman" w:hAnsi="Times New Roman" w:cs="Times New Roman"/>
                <w:sz w:val="20"/>
                <w:szCs w:val="20"/>
                <w:lang w:eastAsia="pl-PL"/>
              </w:rPr>
              <w:t>,</w:t>
            </w:r>
            <w:r w:rsidR="0052643B" w:rsidRPr="00154BF9">
              <w:rPr>
                <w:rFonts w:ascii="Times New Roman" w:hAnsi="Times New Roman" w:cs="Times New Roman"/>
                <w:sz w:val="20"/>
                <w:szCs w:val="20"/>
              </w:rPr>
              <w:t xml:space="preserve"> </w:t>
            </w:r>
            <w:proofErr w:type="spellStart"/>
            <w:r w:rsidR="009C745B" w:rsidRPr="00154BF9">
              <w:rPr>
                <w:rFonts w:ascii="Times New Roman" w:eastAsia="Times New Roman" w:hAnsi="Times New Roman" w:cs="Times New Roman"/>
                <w:sz w:val="20"/>
                <w:szCs w:val="20"/>
                <w:lang w:eastAsia="pl-PL"/>
              </w:rPr>
              <w:t>upadacytynib</w:t>
            </w:r>
            <w:proofErr w:type="spellEnd"/>
            <w:r w:rsidR="002564A8"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2564A8" w:rsidRPr="00154BF9">
              <w:rPr>
                <w:rFonts w:ascii="Times New Roman" w:eastAsia="Times New Roman" w:hAnsi="Times New Roman" w:cs="Times New Roman"/>
                <w:sz w:val="20"/>
                <w:szCs w:val="20"/>
                <w:lang w:eastAsia="pl-PL"/>
              </w:rPr>
              <w:t>filgotynib</w:t>
            </w:r>
            <w:proofErr w:type="spellEnd"/>
            <w:r w:rsidR="006E514E">
              <w:rPr>
                <w:rFonts w:ascii="Times New Roman" w:eastAsia="Times New Roman" w:hAnsi="Times New Roman" w:cs="Times New Roman"/>
                <w:sz w:val="20"/>
                <w:szCs w:val="20"/>
                <w:lang w:eastAsia="pl-PL"/>
              </w:rPr>
              <w:t xml:space="preserve">, </w:t>
            </w:r>
            <w:proofErr w:type="spellStart"/>
            <w:r w:rsidR="005810F1" w:rsidRPr="00154BF9">
              <w:rPr>
                <w:rFonts w:ascii="Times New Roman" w:eastAsia="Times New Roman" w:hAnsi="Times New Roman" w:cs="Times New Roman"/>
                <w:sz w:val="20"/>
                <w:szCs w:val="20"/>
                <w:lang w:eastAsia="pl-PL"/>
              </w:rPr>
              <w:t>anakinr</w:t>
            </w:r>
            <w:r w:rsidR="00CA0EC2" w:rsidRPr="00154BF9">
              <w:rPr>
                <w:rFonts w:ascii="Times New Roman" w:eastAsia="Times New Roman" w:hAnsi="Times New Roman" w:cs="Times New Roman"/>
                <w:sz w:val="20"/>
                <w:szCs w:val="20"/>
                <w:lang w:eastAsia="pl-PL"/>
              </w:rPr>
              <w:t>ę</w:t>
            </w:r>
            <w:proofErr w:type="spellEnd"/>
            <w:r w:rsidR="002564A8" w:rsidRPr="00154BF9">
              <w:rPr>
                <w:rFonts w:ascii="Times New Roman" w:eastAsia="Times New Roman" w:hAnsi="Times New Roman" w:cs="Times New Roman"/>
                <w:sz w:val="20"/>
                <w:szCs w:val="20"/>
                <w:lang w:eastAsia="pl-PL"/>
              </w:rPr>
              <w:t xml:space="preserve"> </w:t>
            </w:r>
            <w:r w:rsidR="006E514E">
              <w:t xml:space="preserve"> </w:t>
            </w:r>
            <w:r w:rsidR="006E514E" w:rsidRPr="006E514E">
              <w:rPr>
                <w:rFonts w:ascii="Times New Roman" w:eastAsia="Times New Roman" w:hAnsi="Times New Roman" w:cs="Times New Roman"/>
                <w:sz w:val="20"/>
                <w:szCs w:val="20"/>
                <w:lang w:eastAsia="pl-PL"/>
              </w:rPr>
              <w:t xml:space="preserve">i </w:t>
            </w:r>
            <w:proofErr w:type="spellStart"/>
            <w:r w:rsidR="006E514E" w:rsidRPr="006E514E">
              <w:rPr>
                <w:rFonts w:ascii="Times New Roman" w:eastAsia="Times New Roman" w:hAnsi="Times New Roman" w:cs="Times New Roman"/>
                <w:sz w:val="20"/>
                <w:szCs w:val="20"/>
                <w:lang w:eastAsia="pl-PL"/>
              </w:rPr>
              <w:t>kanakinumab</w:t>
            </w:r>
            <w:proofErr w:type="spellEnd"/>
            <w:r w:rsidR="006E514E" w:rsidRPr="006E514E">
              <w:rPr>
                <w:rFonts w:ascii="Times New Roman" w:eastAsia="Times New Roman" w:hAnsi="Times New Roman" w:cs="Times New Roman"/>
                <w:sz w:val="20"/>
                <w:szCs w:val="20"/>
                <w:lang w:eastAsia="pl-PL"/>
              </w:rPr>
              <w:t xml:space="preserve"> </w:t>
            </w:r>
            <w:r w:rsidR="00947D88"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dawkowaniem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hAnsi="Times New Roman" w:cs="Times New Roman"/>
                <w:sz w:val="20"/>
                <w:szCs w:val="20"/>
              </w:rPr>
              <w:t xml:space="preserve"> </w:t>
            </w:r>
            <w:r w:rsidR="006A7CEE" w:rsidRPr="00154BF9">
              <w:rPr>
                <w:rFonts w:ascii="Times New Roman" w:hAnsi="Times New Roman" w:cs="Times New Roman"/>
                <w:sz w:val="20"/>
                <w:szCs w:val="20"/>
              </w:rPr>
              <w:t>C</w:t>
            </w:r>
            <w:r w:rsidRPr="00154BF9">
              <w:rPr>
                <w:rFonts w:ascii="Times New Roman" w:eastAsia="Times New Roman" w:hAnsi="Times New Roman" w:cs="Times New Roman"/>
                <w:sz w:val="20"/>
                <w:szCs w:val="20"/>
                <w:lang w:eastAsia="pl-PL"/>
              </w:rPr>
              <w:t>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EULAR/ACR</w:t>
            </w:r>
            <w:r w:rsidR="000E423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wydłużenia</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odstępu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pomiędzy</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kolejnymi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dawkami</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uzyskano</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cel</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terapii</w:t>
            </w:r>
            <w:r w:rsidRPr="00154BF9">
              <w:rPr>
                <w:rFonts w:ascii="Times New Roman" w:eastAsia="Times New Roman" w:hAnsi="Times New Roman" w:cs="Times New Roman"/>
                <w:sz w:val="20"/>
                <w:szCs w:val="20"/>
                <w:lang w:eastAsia="pl-PL"/>
              </w:rPr>
              <w:t>.</w:t>
            </w:r>
          </w:p>
          <w:p w14:paraId="19E5A3A2" w14:textId="7D8B2BB3" w:rsidR="009D7AE1" w:rsidRPr="00154BF9" w:rsidRDefault="009D7AE1" w:rsidP="007F271B">
            <w:pPr>
              <w:numPr>
                <w:ilvl w:val="3"/>
                <w:numId w:val="2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Zmiana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947D88" w:rsidRPr="00154BF9">
              <w:rPr>
                <w:rFonts w:ascii="Times New Roman" w:eastAsia="Times New Roman" w:hAnsi="Times New Roman" w:cs="Times New Roman"/>
                <w:sz w:val="20"/>
                <w:szCs w:val="20"/>
                <w:lang w:eastAsia="pl-PL"/>
              </w:rPr>
              <w:t>n</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przeprowadzona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nadzorem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wykwalifikowanego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personelu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medycznego.</w:t>
            </w:r>
          </w:p>
          <w:p w14:paraId="19C34483" w14:textId="17D668FE" w:rsidR="009D7AE1" w:rsidRPr="00154BF9" w:rsidRDefault="009D7AE1" w:rsidP="007F271B">
            <w:pPr>
              <w:widowControl w:val="0"/>
              <w:numPr>
                <w:ilvl w:val="3"/>
                <w:numId w:val="21"/>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doustnej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skutecznej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chyba,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73281414" w14:textId="710A5E25" w:rsidR="009D7AE1" w:rsidRPr="00154BF9" w:rsidRDefault="009D7AE1" w:rsidP="007F271B">
            <w:pPr>
              <w:pStyle w:val="Akapitzlist"/>
              <w:widowControl w:val="0"/>
              <w:autoSpaceDE w:val="0"/>
              <w:autoSpaceDN w:val="0"/>
              <w:adjustRightInd w:val="0"/>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adalimumab</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certolizumab</w:t>
            </w:r>
            <w:proofErr w:type="spellEnd"/>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pegol</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w:t>
            </w:r>
            <w:r w:rsidR="0068170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baricytynib</w:t>
            </w:r>
            <w:proofErr w:type="spellEnd"/>
            <w:r w:rsidR="00F630E3"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w:t>
            </w:r>
            <w:proofErr w:type="spellEnd"/>
            <w:r w:rsidR="003F40C9"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upadacytynib</w:t>
            </w:r>
            <w:proofErr w:type="spellEnd"/>
            <w:r w:rsidR="00EA4A2E">
              <w:rPr>
                <w:rFonts w:ascii="Times New Roman" w:eastAsia="Times New Roman" w:hAnsi="Times New Roman" w:cs="Times New Roman"/>
                <w:sz w:val="20"/>
                <w:szCs w:val="20"/>
                <w:lang w:eastAsia="pl-PL"/>
              </w:rPr>
              <w:t>,</w:t>
            </w:r>
            <w:r w:rsidR="00EA4A2E"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filgotynib</w:t>
            </w:r>
            <w:proofErr w:type="spellEnd"/>
            <w:r w:rsidR="006E514E">
              <w:rPr>
                <w:rFonts w:ascii="Times New Roman" w:eastAsia="Times New Roman" w:hAnsi="Times New Roman" w:cs="Times New Roman"/>
                <w:sz w:val="20"/>
                <w:szCs w:val="20"/>
                <w:lang w:eastAsia="pl-PL"/>
              </w:rPr>
              <w:t xml:space="preserve">, </w:t>
            </w:r>
            <w:proofErr w:type="spellStart"/>
            <w:r w:rsidR="005810F1" w:rsidRPr="00154BF9">
              <w:rPr>
                <w:rFonts w:ascii="Times New Roman" w:eastAsia="Times New Roman" w:hAnsi="Times New Roman" w:cs="Times New Roman"/>
                <w:sz w:val="20"/>
                <w:szCs w:val="20"/>
                <w:lang w:eastAsia="pl-PL"/>
              </w:rPr>
              <w:t>anakinra</w:t>
            </w:r>
            <w:proofErr w:type="spellEnd"/>
            <w:r w:rsidR="005810F1" w:rsidRPr="00154BF9">
              <w:rPr>
                <w:rFonts w:ascii="Times New Roman" w:eastAsia="Times New Roman" w:hAnsi="Times New Roman" w:cs="Times New Roman"/>
                <w:sz w:val="20"/>
                <w:szCs w:val="20"/>
                <w:lang w:eastAsia="pl-PL"/>
              </w:rPr>
              <w:t xml:space="preserve"> </w:t>
            </w:r>
            <w:r w:rsidR="006E514E" w:rsidRPr="006E514E">
              <w:rPr>
                <w:rFonts w:ascii="Times New Roman" w:eastAsia="Times New Roman" w:hAnsi="Times New Roman" w:cs="Times New Roman"/>
                <w:sz w:val="20"/>
                <w:szCs w:val="20"/>
                <w:lang w:eastAsia="pl-PL"/>
              </w:rPr>
              <w:t xml:space="preserve">i </w:t>
            </w:r>
            <w:proofErr w:type="spellStart"/>
            <w:r w:rsidR="006E514E" w:rsidRPr="006E514E">
              <w:rPr>
                <w:rFonts w:ascii="Times New Roman" w:eastAsia="Times New Roman" w:hAnsi="Times New Roman" w:cs="Times New Roman"/>
                <w:sz w:val="20"/>
                <w:szCs w:val="20"/>
                <w:lang w:eastAsia="pl-PL"/>
              </w:rPr>
              <w:t>kanakinumab</w:t>
            </w:r>
            <w:proofErr w:type="spellEnd"/>
            <w:r w:rsidR="006E514E" w:rsidRPr="006E514E">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mogą</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monoterapii</w:t>
            </w:r>
            <w:proofErr w:type="spellEnd"/>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rekomendacji</w:t>
            </w:r>
            <w:r w:rsidR="00DE7A19">
              <w:rPr>
                <w:rFonts w:ascii="Times New Roman" w:eastAsia="Times New Roman" w:hAnsi="Times New Roman" w:cs="Times New Roman"/>
                <w:sz w:val="20"/>
                <w:szCs w:val="20"/>
                <w:lang w:eastAsia="pl-PL"/>
              </w:rPr>
              <w:t xml:space="preserve"> </w:t>
            </w:r>
            <w:r w:rsidR="00E4719C" w:rsidRPr="00154BF9">
              <w:rPr>
                <w:rFonts w:ascii="Times New Roman" w:eastAsia="Times New Roman" w:hAnsi="Times New Roman" w:cs="Times New Roman"/>
                <w:sz w:val="20"/>
                <w:szCs w:val="20"/>
                <w:lang w:eastAsia="pl-PL"/>
              </w:rPr>
              <w:t>EULAR/ACR.</w:t>
            </w:r>
          </w:p>
          <w:p w14:paraId="03B4E80F" w14:textId="77777777" w:rsidR="00DB7742" w:rsidRPr="00154BF9" w:rsidRDefault="00DB7742"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odbywa w ośrodku minimum trzy wizyty monitorujące (z wynikami badań i oceną efektywności leczenia) od początku leczenia. Po uzyskaniu celu leczenia (niskiej aktywności lub remisji) i utrzymywania się tego stanu minimum 6 miesięcy możliwe jest wydawanie leku do kolejnej wizyty monitorującej. Leczenie może być kontynuowane w warunkach domowych, jeśli lekarz i pacjent uznają to za właściwe. Na pierwszej wizycie z podaniem leku w ośrodku pacjent lub opiekunowie prawni pacjenta otrzymują wyczerpującą informację na temat techniki podawania leków stosowanych pozajelitowo oraz potencjalnych objawach niepożądanych związanych ze stosowanym leczeniem.</w:t>
            </w:r>
          </w:p>
          <w:p w14:paraId="3A130639" w14:textId="4E374ABC" w:rsidR="009D7AE1" w:rsidRPr="00154BF9" w:rsidRDefault="00DB7742"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otrzymuje leki dla celów terapii domowej w ośrodku prowadzącym terapię w programie lekowym danego pacjenta na okres pomiędzy wizytami w ośrodku.</w:t>
            </w:r>
          </w:p>
        </w:tc>
        <w:tc>
          <w:tcPr>
            <w:tcW w:w="4295" w:type="dxa"/>
            <w:tcBorders>
              <w:top w:val="single" w:sz="4" w:space="0" w:color="auto"/>
              <w:bottom w:val="single" w:sz="4" w:space="0" w:color="auto"/>
              <w:right w:val="single" w:sz="4" w:space="0" w:color="auto"/>
            </w:tcBorders>
          </w:tcPr>
          <w:p w14:paraId="06E29E9D" w14:textId="3F5E0598" w:rsidR="009D7AE1" w:rsidRPr="004D380C" w:rsidRDefault="0043742A" w:rsidP="004D380C">
            <w:pPr>
              <w:pStyle w:val="Akapitzlist"/>
              <w:numPr>
                <w:ilvl w:val="0"/>
                <w:numId w:val="22"/>
              </w:numPr>
              <w:autoSpaceDE w:val="0"/>
              <w:autoSpaceDN w:val="0"/>
              <w:adjustRightInd w:val="0"/>
              <w:spacing w:before="120" w:after="60" w:line="276" w:lineRule="auto"/>
              <w:contextualSpacing w:val="0"/>
              <w:jc w:val="both"/>
              <w:rPr>
                <w:rFonts w:ascii="Times New Roman" w:hAnsi="Times New Roman" w:cs="Times New Roman"/>
                <w:b/>
                <w:sz w:val="20"/>
                <w:szCs w:val="20"/>
              </w:rPr>
            </w:pPr>
            <w:r w:rsidRPr="004D380C">
              <w:rPr>
                <w:rFonts w:ascii="Times New Roman" w:hAnsi="Times New Roman" w:cs="Times New Roman"/>
                <w:b/>
                <w:sz w:val="20"/>
                <w:szCs w:val="20"/>
              </w:rPr>
              <w:lastRenderedPageBreak/>
              <w:t>Badania</w:t>
            </w:r>
            <w:r w:rsidR="0052643B" w:rsidRPr="004D380C">
              <w:rPr>
                <w:rFonts w:ascii="Times New Roman" w:hAnsi="Times New Roman" w:cs="Times New Roman"/>
                <w:b/>
                <w:sz w:val="20"/>
                <w:szCs w:val="20"/>
              </w:rPr>
              <w:t xml:space="preserve"> </w:t>
            </w:r>
            <w:r w:rsidRPr="004D380C">
              <w:rPr>
                <w:rFonts w:ascii="Times New Roman" w:hAnsi="Times New Roman" w:cs="Times New Roman"/>
                <w:b/>
                <w:sz w:val="20"/>
                <w:szCs w:val="20"/>
              </w:rPr>
              <w:t>przy</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kwalifikacji</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do</w:t>
            </w:r>
            <w:r w:rsidR="0052643B" w:rsidRPr="004D380C">
              <w:rPr>
                <w:rFonts w:ascii="Times New Roman" w:hAnsi="Times New Roman" w:cs="Times New Roman"/>
                <w:b/>
                <w:sz w:val="20"/>
                <w:szCs w:val="20"/>
              </w:rPr>
              <w:t xml:space="preserve"> </w:t>
            </w:r>
            <w:r w:rsidR="009D7AE1" w:rsidRPr="004D380C">
              <w:rPr>
                <w:rFonts w:ascii="Times New Roman" w:hAnsi="Times New Roman" w:cs="Times New Roman"/>
                <w:b/>
                <w:sz w:val="20"/>
                <w:szCs w:val="20"/>
              </w:rPr>
              <w:t>programu</w:t>
            </w:r>
          </w:p>
          <w:p w14:paraId="3EEBA1B6" w14:textId="642F7FC4"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czynnik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reumatoidalny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surowicy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aCCP</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kiedykolwiek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p>
          <w:p w14:paraId="70A79131" w14:textId="66F913D1"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próba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tuberkulinowa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test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Quantiferon</w:t>
            </w:r>
            <w:proofErr w:type="spellEnd"/>
            <w:r w:rsidRPr="00154BF9">
              <w:rPr>
                <w:rFonts w:ascii="Times New Roman" w:eastAsia="Times New Roman" w:hAnsi="Times New Roman" w:cs="Times New Roman"/>
                <w:sz w:val="20"/>
                <w:szCs w:val="20"/>
                <w:lang w:eastAsia="pl-PL"/>
              </w:rPr>
              <w:t>;</w:t>
            </w:r>
          </w:p>
          <w:p w14:paraId="6779E8FA" w14:textId="199B8CC9"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obecność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antygenu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HBs</w:t>
            </w:r>
            <w:proofErr w:type="spellEnd"/>
            <w:r w:rsidRPr="00154BF9">
              <w:rPr>
                <w:rFonts w:ascii="Times New Roman" w:eastAsia="Times New Roman" w:hAnsi="Times New Roman" w:cs="Times New Roman"/>
                <w:sz w:val="20"/>
                <w:szCs w:val="20"/>
                <w:lang w:eastAsia="pl-PL"/>
              </w:rPr>
              <w:t>;</w:t>
            </w:r>
          </w:p>
          <w:p w14:paraId="7006D55A" w14:textId="345FFBF5" w:rsidR="003D3739" w:rsidRPr="00154BF9" w:rsidRDefault="003D373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 anty-</w:t>
            </w:r>
            <w:proofErr w:type="spellStart"/>
            <w:r w:rsidRPr="00154BF9">
              <w:rPr>
                <w:rFonts w:ascii="Times New Roman" w:eastAsia="Times New Roman" w:hAnsi="Times New Roman" w:cs="Times New Roman"/>
                <w:sz w:val="20"/>
                <w:szCs w:val="20"/>
                <w:lang w:eastAsia="pl-PL"/>
              </w:rPr>
              <w:t>HBc</w:t>
            </w:r>
            <w:proofErr w:type="spellEnd"/>
          </w:p>
          <w:p w14:paraId="4AEBB97A" w14:textId="274A618B"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anty-HCV,</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pozytywnego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wyniku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HCV</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metodą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ilościową;</w:t>
            </w:r>
            <w:r w:rsidR="0052643B" w:rsidRPr="00154BF9">
              <w:rPr>
                <w:rFonts w:ascii="Times New Roman" w:eastAsia="Times New Roman" w:hAnsi="Times New Roman" w:cs="Times New Roman"/>
                <w:sz w:val="20"/>
                <w:szCs w:val="20"/>
                <w:lang w:eastAsia="pl-PL"/>
              </w:rPr>
              <w:t xml:space="preserve"> </w:t>
            </w:r>
          </w:p>
          <w:p w14:paraId="5037646C" w14:textId="1B2601FF"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val="de-DE" w:eastAsia="pl-PL"/>
              </w:rPr>
            </w:pPr>
            <w:proofErr w:type="spellStart"/>
            <w:r w:rsidRPr="00154BF9">
              <w:rPr>
                <w:rFonts w:ascii="Times New Roman" w:eastAsia="Times New Roman" w:hAnsi="Times New Roman" w:cs="Times New Roman"/>
                <w:sz w:val="20"/>
                <w:szCs w:val="20"/>
                <w:lang w:val="en-US" w:eastAsia="pl-PL"/>
              </w:rPr>
              <w:t>antygen</w:t>
            </w:r>
            <w:proofErr w:type="spellEnd"/>
            <w:r w:rsidR="0052643B" w:rsidRPr="00154BF9">
              <w:rPr>
                <w:rFonts w:ascii="Times New Roman" w:eastAsia="Times New Roman" w:hAnsi="Times New Roman" w:cs="Times New Roman"/>
                <w:sz w:val="20"/>
                <w:szCs w:val="20"/>
                <w:lang w:val="de-DE" w:eastAsia="pl-PL"/>
              </w:rPr>
              <w:t xml:space="preserve"> </w:t>
            </w:r>
            <w:proofErr w:type="spellStart"/>
            <w:r w:rsidRPr="00154BF9">
              <w:rPr>
                <w:rFonts w:ascii="Times New Roman" w:eastAsia="Times New Roman" w:hAnsi="Times New Roman" w:cs="Times New Roman"/>
                <w:sz w:val="20"/>
                <w:szCs w:val="20"/>
                <w:lang w:val="en-US" w:eastAsia="pl-PL"/>
              </w:rPr>
              <w:t>wirusa</w:t>
            </w:r>
            <w:proofErr w:type="spellEnd"/>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Ag/Ab</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Combo);</w:t>
            </w:r>
          </w:p>
          <w:p w14:paraId="78145AAC" w14:textId="43A38DD3" w:rsidR="009D7AE1"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RTG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klatki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piersiowej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kwalifikacją);</w:t>
            </w:r>
          </w:p>
          <w:p w14:paraId="3FE777B7" w14:textId="346C16A3" w:rsidR="006A7CEE" w:rsidRPr="00154BF9" w:rsidRDefault="009D7AE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val="en-US" w:eastAsia="pl-PL"/>
              </w:rPr>
              <w:t>EKG</w:t>
            </w:r>
            <w:r w:rsidR="0052643B" w:rsidRPr="00154BF9">
              <w:rPr>
                <w:rFonts w:ascii="Times New Roman" w:eastAsia="Times New Roman" w:hAnsi="Times New Roman" w:cs="Times New Roman"/>
                <w:sz w:val="20"/>
                <w:szCs w:val="20"/>
                <w:lang w:val="en-US" w:eastAsia="pl-PL"/>
              </w:rPr>
              <w:t xml:space="preserve"> </w:t>
            </w:r>
            <w:r w:rsidRPr="00154BF9">
              <w:rPr>
                <w:rFonts w:ascii="Times New Roman" w:eastAsia="Times New Roman" w:hAnsi="Times New Roman" w:cs="Times New Roman"/>
                <w:sz w:val="20"/>
                <w:szCs w:val="20"/>
                <w:lang w:val="en-US" w:eastAsia="pl-PL"/>
              </w:rPr>
              <w:t>z</w:t>
            </w:r>
            <w:r w:rsidR="0052643B" w:rsidRPr="00154BF9">
              <w:rPr>
                <w:rFonts w:ascii="Times New Roman" w:eastAsia="Times New Roman" w:hAnsi="Times New Roman" w:cs="Times New Roman"/>
                <w:sz w:val="20"/>
                <w:szCs w:val="20"/>
                <w:lang w:val="en-US" w:eastAsia="pl-PL"/>
              </w:rPr>
              <w:t xml:space="preserve"> </w:t>
            </w:r>
            <w:r w:rsidRPr="00154BF9">
              <w:rPr>
                <w:rFonts w:ascii="Times New Roman" w:eastAsia="Times New Roman" w:hAnsi="Times New Roman" w:cs="Times New Roman"/>
                <w:sz w:val="20"/>
                <w:szCs w:val="20"/>
                <w:lang w:eastAsia="pl-PL"/>
              </w:rPr>
              <w:t>opisem</w:t>
            </w:r>
            <w:r w:rsidR="000161B7" w:rsidRPr="00154BF9">
              <w:rPr>
                <w:rFonts w:ascii="Times New Roman" w:eastAsia="Times New Roman" w:hAnsi="Times New Roman" w:cs="Times New Roman"/>
                <w:sz w:val="20"/>
                <w:szCs w:val="20"/>
                <w:lang w:val="en-US" w:eastAsia="pl-PL"/>
              </w:rPr>
              <w:t>;</w:t>
            </w:r>
          </w:p>
          <w:p w14:paraId="2DE86B71" w14:textId="35CA9F70" w:rsidR="006A7CEE" w:rsidRPr="00154BF9" w:rsidRDefault="006A7CEE"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3F40C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3F40C9" w:rsidRPr="00154BF9">
              <w:rPr>
                <w:rFonts w:ascii="Times New Roman" w:eastAsia="Times New Roman" w:hAnsi="Times New Roman" w:cs="Times New Roman"/>
                <w:sz w:val="20"/>
                <w:szCs w:val="20"/>
                <w:lang w:eastAsia="pl-PL"/>
              </w:rPr>
              <w:t>upadacytynibem</w:t>
            </w:r>
            <w:proofErr w:type="spellEnd"/>
            <w:r w:rsidR="0052643B" w:rsidRPr="00154BF9">
              <w:rPr>
                <w:rFonts w:ascii="Times New Roman" w:hAnsi="Times New Roman" w:cs="Times New Roman"/>
                <w:sz w:val="20"/>
                <w:szCs w:val="20"/>
              </w:rPr>
              <w:t xml:space="preserve"> </w:t>
            </w:r>
            <w:r w:rsidR="007B64CE" w:rsidRPr="00154BF9">
              <w:rPr>
                <w:rFonts w:ascii="Times New Roman" w:eastAsia="Times New Roman" w:hAnsi="Times New Roman" w:cs="Times New Roman"/>
                <w:sz w:val="20"/>
                <w:szCs w:val="20"/>
                <w:lang w:eastAsia="pl-PL"/>
              </w:rPr>
              <w:t xml:space="preserve">lub </w:t>
            </w:r>
            <w:proofErr w:type="spellStart"/>
            <w:r w:rsidR="00EA4A2E" w:rsidRPr="00154BF9">
              <w:rPr>
                <w:rFonts w:ascii="Times New Roman" w:eastAsia="Times New Roman" w:hAnsi="Times New Roman" w:cs="Times New Roman"/>
                <w:sz w:val="20"/>
                <w:szCs w:val="20"/>
                <w:lang w:eastAsia="pl-PL"/>
              </w:rPr>
              <w:t>filgotynibem</w:t>
            </w:r>
            <w:proofErr w:type="spellEnd"/>
            <w:r w:rsidR="00EA4A2E" w:rsidRPr="00154BF9">
              <w:rPr>
                <w:rFonts w:ascii="Times New Roman" w:eastAsia="Times New Roman" w:hAnsi="Times New Roman" w:cs="Times New Roman"/>
                <w:sz w:val="20"/>
                <w:szCs w:val="20"/>
                <w:lang w:eastAsia="pl-PL"/>
              </w:rPr>
              <w:t xml:space="preserve"> lub</w:t>
            </w:r>
            <w:r w:rsidR="005810F1" w:rsidRPr="00154BF9">
              <w:rPr>
                <w:rFonts w:ascii="Times New Roman" w:eastAsia="Times New Roman" w:hAnsi="Times New Roman" w:cs="Times New Roman"/>
                <w:sz w:val="20"/>
                <w:szCs w:val="20"/>
                <w:lang w:eastAsia="pl-PL"/>
              </w:rPr>
              <w:t xml:space="preserve"> </w:t>
            </w:r>
            <w:proofErr w:type="spellStart"/>
            <w:r w:rsidR="005810F1" w:rsidRPr="00154BF9">
              <w:rPr>
                <w:rFonts w:ascii="Times New Roman" w:eastAsia="Times New Roman" w:hAnsi="Times New Roman" w:cs="Times New Roman"/>
                <w:sz w:val="20"/>
                <w:szCs w:val="20"/>
                <w:lang w:eastAsia="pl-PL"/>
              </w:rPr>
              <w:t>anakinrą</w:t>
            </w:r>
            <w:proofErr w:type="spellEnd"/>
            <w:r w:rsidR="005810F1" w:rsidRPr="00154BF9">
              <w:rPr>
                <w:rFonts w:ascii="Times New Roman" w:eastAsia="Times New Roman" w:hAnsi="Times New Roman" w:cs="Times New Roman"/>
                <w:sz w:val="20"/>
                <w:szCs w:val="20"/>
                <w:lang w:eastAsia="pl-PL"/>
              </w:rPr>
              <w:t xml:space="preserve"> </w:t>
            </w:r>
            <w:r w:rsidR="00C63D99" w:rsidRPr="00C63D99">
              <w:rPr>
                <w:rFonts w:ascii="Times New Roman" w:eastAsia="Times New Roman" w:hAnsi="Times New Roman" w:cs="Times New Roman"/>
                <w:sz w:val="20"/>
                <w:szCs w:val="20"/>
                <w:lang w:eastAsia="pl-PL"/>
              </w:rPr>
              <w:t xml:space="preserve">lub </w:t>
            </w:r>
            <w:proofErr w:type="spellStart"/>
            <w:r w:rsidR="00C63D99" w:rsidRPr="00C63D99">
              <w:rPr>
                <w:rFonts w:ascii="Times New Roman" w:eastAsia="Times New Roman" w:hAnsi="Times New Roman" w:cs="Times New Roman"/>
                <w:sz w:val="20"/>
                <w:szCs w:val="20"/>
                <w:lang w:eastAsia="pl-PL"/>
              </w:rPr>
              <w:t>kanakinumabem</w:t>
            </w:r>
            <w:proofErr w:type="spellEnd"/>
            <w:r w:rsidR="00C63D99" w:rsidRPr="00C63D9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limfocytów;</w:t>
            </w:r>
          </w:p>
          <w:p w14:paraId="486E9E39" w14:textId="0F5B7B7B" w:rsidR="006A7CEE" w:rsidRPr="00154BF9" w:rsidRDefault="005A3F2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pły</w:t>
            </w:r>
            <w:r w:rsidRPr="00154BF9">
              <w:rPr>
                <w:rFonts w:ascii="Times New Roman" w:eastAsia="Times New Roman" w:hAnsi="Times New Roman" w:cs="Times New Roman"/>
                <w:sz w:val="20"/>
                <w:szCs w:val="20"/>
                <w:lang w:eastAsia="pl-PL"/>
              </w:rPr>
              <w:t xml:space="preserve">tek </w:t>
            </w:r>
            <w:r w:rsidR="006A7CEE"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(PLT);</w:t>
            </w:r>
          </w:p>
          <w:p w14:paraId="56B8D82F" w14:textId="1A90843A" w:rsidR="006A7CEE" w:rsidRPr="00154BF9" w:rsidRDefault="005A3F2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wartości </w:t>
            </w:r>
            <w:r w:rsidR="006A7CEE" w:rsidRPr="00154BF9">
              <w:rPr>
                <w:rFonts w:ascii="Times New Roman" w:eastAsia="Times New Roman" w:hAnsi="Times New Roman" w:cs="Times New Roman"/>
                <w:sz w:val="20"/>
                <w:szCs w:val="20"/>
                <w:lang w:eastAsia="pl-PL"/>
              </w:rPr>
              <w:t>odczyn</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Biernackiego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(OB);</w:t>
            </w:r>
          </w:p>
          <w:p w14:paraId="0C4A56FF" w14:textId="4C489736" w:rsidR="006A7CEE" w:rsidRPr="00154BF9" w:rsidRDefault="005A3F21"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stężeni</w:t>
            </w:r>
            <w:r w:rsidR="00CA7829"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białka</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C-reaktywnego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(CRP);</w:t>
            </w:r>
          </w:p>
          <w:p w14:paraId="1AF838E6" w14:textId="6AE8F74E" w:rsidR="006A7CEE" w:rsidRPr="00154BF9" w:rsidRDefault="00CA782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r w:rsidR="006A7CEE" w:rsidRPr="00154BF9">
              <w:rPr>
                <w:rFonts w:ascii="Times New Roman" w:eastAsia="Times New Roman" w:hAnsi="Times New Roman" w:cs="Times New Roman"/>
                <w:sz w:val="20"/>
                <w:szCs w:val="20"/>
                <w:lang w:eastAsia="pl-PL"/>
              </w:rPr>
              <w:t>;</w:t>
            </w:r>
          </w:p>
          <w:p w14:paraId="2491BD2D" w14:textId="77777777" w:rsidR="00CA7829" w:rsidRPr="00154BF9" w:rsidRDefault="00CA7829"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34891C27" w14:textId="3D8965ED" w:rsidR="006A7CEE" w:rsidRPr="00154BF9" w:rsidRDefault="00CA782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r w:rsidR="006A7CEE" w:rsidRPr="00154BF9">
              <w:rPr>
                <w:rFonts w:ascii="Times New Roman" w:eastAsia="Times New Roman" w:hAnsi="Times New Roman" w:cs="Times New Roman"/>
                <w:sz w:val="20"/>
                <w:szCs w:val="20"/>
                <w:lang w:eastAsia="pl-PL"/>
              </w:rPr>
              <w:t>;</w:t>
            </w:r>
          </w:p>
          <w:p w14:paraId="0B09D997" w14:textId="3873847D" w:rsidR="006A7CEE" w:rsidRPr="00154BF9" w:rsidRDefault="006A7CEE"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badanie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ogólne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moczu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p>
          <w:p w14:paraId="13ED2C08" w14:textId="14E9B603" w:rsidR="006A7CEE" w:rsidRPr="00154BF9" w:rsidRDefault="00CA782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6A7CEE"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immunoglobulin</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G</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M</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surowicy</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6A7CEE"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proofErr w:type="spellStart"/>
            <w:r w:rsidR="006A7CEE" w:rsidRPr="00154BF9">
              <w:rPr>
                <w:rFonts w:ascii="Times New Roman" w:eastAsia="Times New Roman" w:hAnsi="Times New Roman" w:cs="Times New Roman"/>
                <w:sz w:val="20"/>
                <w:szCs w:val="20"/>
                <w:lang w:eastAsia="pl-PL"/>
              </w:rPr>
              <w:t>rytuksymabem</w:t>
            </w:r>
            <w:proofErr w:type="spellEnd"/>
            <w:r w:rsidR="006A7CEE" w:rsidRPr="00154BF9">
              <w:rPr>
                <w:rFonts w:ascii="Times New Roman" w:eastAsia="Times New Roman" w:hAnsi="Times New Roman" w:cs="Times New Roman"/>
                <w:sz w:val="20"/>
                <w:szCs w:val="20"/>
                <w:lang w:eastAsia="pl-PL"/>
              </w:rPr>
              <w:t>;</w:t>
            </w:r>
          </w:p>
          <w:p w14:paraId="0CBEEEE6" w14:textId="450EE48E" w:rsidR="000219B9" w:rsidRPr="00154BF9" w:rsidRDefault="00CA7829" w:rsidP="007F271B">
            <w:pPr>
              <w:numPr>
                <w:ilvl w:val="3"/>
                <w:numId w:val="22"/>
              </w:numPr>
              <w:suppressAutoHyphens/>
              <w:snapToGri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0219B9" w:rsidRPr="00154BF9">
              <w:rPr>
                <w:rFonts w:ascii="Times New Roman" w:eastAsia="Times New Roman" w:hAnsi="Times New Roman" w:cs="Times New Roman"/>
                <w:sz w:val="20"/>
                <w:szCs w:val="20"/>
                <w:lang w:eastAsia="pl-PL"/>
              </w:rPr>
              <w:t>stężeni</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cholesterolu</w:t>
            </w:r>
            <w:r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u</w:t>
            </w:r>
            <w:r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0219B9"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0219B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0219B9"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D443F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D443F5" w:rsidRPr="00154BF9">
              <w:rPr>
                <w:rFonts w:ascii="Times New Roman" w:eastAsia="Times New Roman" w:hAnsi="Times New Roman" w:cs="Times New Roman"/>
                <w:sz w:val="20"/>
                <w:szCs w:val="20"/>
                <w:lang w:eastAsia="pl-PL"/>
              </w:rPr>
              <w:t>upadacytynibem</w:t>
            </w:r>
            <w:proofErr w:type="spellEnd"/>
            <w:r w:rsidR="007B64CE" w:rsidRPr="00154BF9">
              <w:t xml:space="preserve"> </w:t>
            </w:r>
            <w:r w:rsidR="007B64CE" w:rsidRPr="00154BF9">
              <w:rPr>
                <w:rFonts w:ascii="Times New Roman" w:eastAsia="Times New Roman" w:hAnsi="Times New Roman" w:cs="Times New Roman"/>
                <w:sz w:val="20"/>
                <w:szCs w:val="20"/>
                <w:lang w:eastAsia="pl-PL"/>
              </w:rPr>
              <w:t xml:space="preserve">lub </w:t>
            </w:r>
            <w:proofErr w:type="spellStart"/>
            <w:r w:rsidR="007B64CE" w:rsidRPr="00154BF9">
              <w:rPr>
                <w:rFonts w:ascii="Times New Roman" w:eastAsia="Times New Roman" w:hAnsi="Times New Roman" w:cs="Times New Roman"/>
                <w:sz w:val="20"/>
                <w:szCs w:val="20"/>
                <w:lang w:eastAsia="pl-PL"/>
              </w:rPr>
              <w:t>filgotynibem</w:t>
            </w:r>
            <w:proofErr w:type="spellEnd"/>
            <w:r w:rsidR="000219B9" w:rsidRPr="00154BF9">
              <w:rPr>
                <w:rFonts w:ascii="Times New Roman" w:eastAsia="Times New Roman" w:hAnsi="Times New Roman" w:cs="Times New Roman"/>
                <w:sz w:val="20"/>
                <w:szCs w:val="20"/>
                <w:lang w:eastAsia="pl-PL"/>
              </w:rPr>
              <w:t>.</w:t>
            </w:r>
          </w:p>
          <w:p w14:paraId="13DFA5AE" w14:textId="77777777" w:rsidR="007050E5" w:rsidRPr="00154BF9" w:rsidRDefault="007050E5" w:rsidP="007F271B">
            <w:pPr>
              <w:suppressAutoHyphens/>
              <w:snapToGrid w:val="0"/>
              <w:spacing w:after="60" w:line="276" w:lineRule="auto"/>
              <w:ind w:left="357"/>
              <w:jc w:val="both"/>
              <w:rPr>
                <w:rFonts w:ascii="Times New Roman" w:eastAsia="Times New Roman" w:hAnsi="Times New Roman" w:cs="Times New Roman"/>
                <w:sz w:val="20"/>
                <w:szCs w:val="20"/>
                <w:lang w:eastAsia="pl-PL"/>
              </w:rPr>
            </w:pPr>
          </w:p>
          <w:p w14:paraId="05E3B990" w14:textId="2F0E1E2A" w:rsidR="009D7AE1" w:rsidRPr="00154BF9" w:rsidRDefault="009D7AE1" w:rsidP="007F271B">
            <w:pPr>
              <w:pStyle w:val="Akapitzlist"/>
              <w:numPr>
                <w:ilvl w:val="0"/>
                <w:numId w:val="22"/>
              </w:numPr>
              <w:spacing w:after="60" w:line="276" w:lineRule="auto"/>
              <w:contextualSpacing w:val="0"/>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leczenia</w:t>
            </w:r>
          </w:p>
          <w:p w14:paraId="0C528961" w14:textId="6798A2C1" w:rsidR="009D7AE1" w:rsidRPr="00154BF9" w:rsidRDefault="009D7AE1" w:rsidP="007F271B">
            <w:pPr>
              <w:numPr>
                <w:ilvl w:val="1"/>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bCs/>
                <w:sz w:val="20"/>
                <w:szCs w:val="20"/>
                <w:lang w:eastAsia="pl-PL"/>
              </w:rPr>
              <w:t>Monitorowanie</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terapii</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inhibitorem</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TNF</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alfa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tocilizumabem</w:t>
            </w:r>
            <w:r w:rsidR="0052643B" w:rsidRPr="00154BF9">
              <w:rPr>
                <w:rFonts w:ascii="Times New Roman" w:eastAsia="Times New Roman" w:hAnsi="Times New Roman" w:cs="Times New Roman"/>
                <w:b/>
                <w:bCs/>
                <w:sz w:val="20"/>
                <w:szCs w:val="20"/>
                <w:lang w:eastAsia="pl-PL"/>
              </w:rPr>
              <w:t xml:space="preserve"> </w:t>
            </w:r>
            <w:r w:rsidR="00370A55"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proofErr w:type="spellStart"/>
            <w:r w:rsidR="00370A55" w:rsidRPr="00154BF9">
              <w:rPr>
                <w:rFonts w:ascii="Times New Roman" w:eastAsia="Times New Roman" w:hAnsi="Times New Roman" w:cs="Times New Roman"/>
                <w:b/>
                <w:bCs/>
                <w:sz w:val="20"/>
                <w:szCs w:val="20"/>
                <w:lang w:eastAsia="pl-PL"/>
              </w:rPr>
              <w:t>baricytynibem</w:t>
            </w:r>
            <w:proofErr w:type="spellEnd"/>
            <w:r w:rsidR="0052643B" w:rsidRPr="00154BF9">
              <w:rPr>
                <w:rFonts w:ascii="Times New Roman" w:eastAsia="Times New Roman" w:hAnsi="Times New Roman" w:cs="Times New Roman"/>
                <w:b/>
                <w:bCs/>
                <w:sz w:val="20"/>
                <w:szCs w:val="20"/>
                <w:lang w:eastAsia="pl-PL"/>
              </w:rPr>
              <w:t xml:space="preserve"> </w:t>
            </w:r>
            <w:r w:rsidR="0068170D"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proofErr w:type="spellStart"/>
            <w:r w:rsidR="0068170D" w:rsidRPr="00154BF9">
              <w:rPr>
                <w:rFonts w:ascii="Times New Roman" w:eastAsia="Times New Roman" w:hAnsi="Times New Roman" w:cs="Times New Roman"/>
                <w:b/>
                <w:bCs/>
                <w:sz w:val="20"/>
                <w:szCs w:val="20"/>
                <w:lang w:eastAsia="pl-PL"/>
              </w:rPr>
              <w:t>tofacytynibem</w:t>
            </w:r>
            <w:proofErr w:type="spellEnd"/>
            <w:r w:rsidR="0052643B" w:rsidRPr="00154BF9">
              <w:rPr>
                <w:rFonts w:ascii="Times New Roman" w:eastAsia="Times New Roman" w:hAnsi="Times New Roman" w:cs="Times New Roman"/>
                <w:b/>
                <w:bCs/>
                <w:sz w:val="20"/>
                <w:szCs w:val="20"/>
                <w:lang w:eastAsia="pl-PL"/>
              </w:rPr>
              <w:t xml:space="preserve"> </w:t>
            </w:r>
            <w:r w:rsidR="00B96557" w:rsidRPr="00154BF9">
              <w:rPr>
                <w:rFonts w:ascii="Times New Roman" w:eastAsia="Times New Roman" w:hAnsi="Times New Roman" w:cs="Times New Roman"/>
                <w:b/>
                <w:bCs/>
                <w:sz w:val="20"/>
                <w:szCs w:val="20"/>
                <w:lang w:eastAsia="pl-PL"/>
              </w:rPr>
              <w:t>lub</w:t>
            </w:r>
            <w:r w:rsidR="0052643B" w:rsidRPr="00154BF9">
              <w:rPr>
                <w:rFonts w:ascii="Times New Roman" w:eastAsia="Times New Roman" w:hAnsi="Times New Roman" w:cs="Times New Roman"/>
                <w:b/>
                <w:bCs/>
                <w:sz w:val="20"/>
                <w:szCs w:val="20"/>
                <w:lang w:eastAsia="pl-PL"/>
              </w:rPr>
              <w:t xml:space="preserve"> </w:t>
            </w:r>
            <w:proofErr w:type="spellStart"/>
            <w:r w:rsidR="00B96557" w:rsidRPr="00154BF9">
              <w:rPr>
                <w:rFonts w:ascii="Times New Roman" w:eastAsia="Times New Roman" w:hAnsi="Times New Roman" w:cs="Times New Roman"/>
                <w:b/>
                <w:bCs/>
                <w:sz w:val="20"/>
                <w:szCs w:val="20"/>
                <w:lang w:eastAsia="pl-PL"/>
              </w:rPr>
              <w:t>upadacytynibem</w:t>
            </w:r>
            <w:proofErr w:type="spellEnd"/>
            <w:r w:rsidR="0052643B" w:rsidRPr="00154BF9">
              <w:rPr>
                <w:rFonts w:ascii="Times New Roman" w:hAnsi="Times New Roman" w:cs="Times New Roman"/>
                <w:b/>
                <w:bCs/>
                <w:sz w:val="20"/>
                <w:szCs w:val="20"/>
              </w:rPr>
              <w:t xml:space="preserve"> </w:t>
            </w:r>
            <w:r w:rsidR="00527E22" w:rsidRPr="00154BF9">
              <w:rPr>
                <w:rFonts w:ascii="Times New Roman" w:eastAsia="Times New Roman" w:hAnsi="Times New Roman" w:cs="Times New Roman"/>
                <w:b/>
                <w:bCs/>
                <w:sz w:val="20"/>
                <w:szCs w:val="20"/>
                <w:lang w:eastAsia="pl-PL"/>
              </w:rPr>
              <w:t xml:space="preserve">lub </w:t>
            </w:r>
            <w:proofErr w:type="spellStart"/>
            <w:r w:rsidR="00527E22" w:rsidRPr="00154BF9">
              <w:rPr>
                <w:rFonts w:ascii="Times New Roman" w:eastAsia="Times New Roman" w:hAnsi="Times New Roman" w:cs="Times New Roman"/>
                <w:b/>
                <w:bCs/>
                <w:sz w:val="20"/>
                <w:szCs w:val="20"/>
                <w:lang w:eastAsia="pl-PL"/>
              </w:rPr>
              <w:t>filgotynibem</w:t>
            </w:r>
            <w:proofErr w:type="spellEnd"/>
            <w:r w:rsidR="00CA0EC2" w:rsidRPr="00154BF9">
              <w:rPr>
                <w:rFonts w:ascii="Times New Roman" w:eastAsia="Times New Roman" w:hAnsi="Times New Roman" w:cs="Times New Roman"/>
                <w:b/>
                <w:bCs/>
                <w:sz w:val="20"/>
                <w:szCs w:val="20"/>
                <w:lang w:eastAsia="pl-PL"/>
              </w:rPr>
              <w:t xml:space="preserve"> </w:t>
            </w:r>
            <w:r w:rsidR="005810F1" w:rsidRPr="00154BF9">
              <w:rPr>
                <w:rFonts w:ascii="Times New Roman" w:eastAsia="Times New Roman" w:hAnsi="Times New Roman" w:cs="Times New Roman"/>
                <w:b/>
                <w:bCs/>
                <w:sz w:val="20"/>
                <w:szCs w:val="20"/>
                <w:lang w:eastAsia="pl-PL"/>
              </w:rPr>
              <w:t xml:space="preserve">lub </w:t>
            </w:r>
            <w:proofErr w:type="spellStart"/>
            <w:r w:rsidR="005810F1" w:rsidRPr="00154BF9">
              <w:rPr>
                <w:rFonts w:ascii="Times New Roman" w:eastAsia="Times New Roman" w:hAnsi="Times New Roman" w:cs="Times New Roman"/>
                <w:b/>
                <w:bCs/>
                <w:sz w:val="20"/>
                <w:szCs w:val="20"/>
                <w:lang w:eastAsia="pl-PL"/>
              </w:rPr>
              <w:t>anakinrą</w:t>
            </w:r>
            <w:proofErr w:type="spellEnd"/>
            <w:r w:rsidR="005810F1" w:rsidRPr="00154BF9">
              <w:rPr>
                <w:rFonts w:ascii="Times New Roman" w:eastAsia="Times New Roman" w:hAnsi="Times New Roman" w:cs="Times New Roman"/>
                <w:sz w:val="20"/>
                <w:szCs w:val="20"/>
                <w:lang w:eastAsia="pl-PL"/>
              </w:rPr>
              <w:t xml:space="preserve"> </w:t>
            </w:r>
            <w:r w:rsidR="00C63D99">
              <w:t xml:space="preserve"> </w:t>
            </w:r>
            <w:r w:rsidR="00C63D99" w:rsidRPr="00EC7B60">
              <w:rPr>
                <w:rFonts w:ascii="Times New Roman" w:eastAsia="Times New Roman" w:hAnsi="Times New Roman" w:cs="Times New Roman"/>
                <w:b/>
                <w:bCs/>
                <w:sz w:val="20"/>
                <w:szCs w:val="20"/>
                <w:lang w:eastAsia="pl-PL"/>
              </w:rPr>
              <w:t xml:space="preserve">lub </w:t>
            </w:r>
            <w:proofErr w:type="spellStart"/>
            <w:r w:rsidR="00C63D99" w:rsidRPr="00EC7B60">
              <w:rPr>
                <w:rFonts w:ascii="Times New Roman" w:eastAsia="Times New Roman" w:hAnsi="Times New Roman" w:cs="Times New Roman"/>
                <w:b/>
                <w:bCs/>
                <w:sz w:val="20"/>
                <w:szCs w:val="20"/>
                <w:lang w:eastAsia="pl-PL"/>
              </w:rPr>
              <w:lastRenderedPageBreak/>
              <w:t>kanakinumabem</w:t>
            </w:r>
            <w:proofErr w:type="spellEnd"/>
            <w:r w:rsidR="00C63D99" w:rsidRPr="00C63D99">
              <w:rPr>
                <w:rFonts w:ascii="Times New Roman" w:eastAsia="Times New Roman" w:hAnsi="Times New Roman" w:cs="Times New Roman"/>
                <w:sz w:val="20"/>
                <w:szCs w:val="20"/>
                <w:lang w:eastAsia="pl-PL"/>
              </w:rPr>
              <w:t xml:space="preserve"> </w:t>
            </w:r>
            <w:r w:rsidR="00F650EC"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p>
          <w:p w14:paraId="556D0D54" w14:textId="1BAD215F" w:rsidR="009D7AE1" w:rsidRPr="00154BF9" w:rsidRDefault="009D7AE1" w:rsidP="007F271B">
            <w:pPr>
              <w:numPr>
                <w:ilvl w:val="3"/>
                <w:numId w:val="22"/>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D443F5" w:rsidRPr="00154BF9">
              <w:rPr>
                <w:rFonts w:ascii="Times New Roman" w:eastAsia="Times New Roman" w:hAnsi="Times New Roman" w:cs="Times New Roman"/>
                <w:sz w:val="20"/>
                <w:szCs w:val="20"/>
                <w:lang w:eastAsia="pl-PL"/>
              </w:rPr>
              <w:t>upadacytynibem</w:t>
            </w:r>
            <w:proofErr w:type="spellEnd"/>
            <w:r w:rsidR="00527E22" w:rsidRPr="00154BF9">
              <w:rPr>
                <w:rFonts w:ascii="Times New Roman" w:eastAsia="Times New Roman" w:hAnsi="Times New Roman" w:cs="Times New Roman"/>
                <w:sz w:val="20"/>
                <w:szCs w:val="20"/>
                <w:lang w:eastAsia="pl-PL"/>
              </w:rPr>
              <w:t xml:space="preserve"> </w:t>
            </w:r>
            <w:r w:rsidR="0052643B" w:rsidRPr="00154BF9">
              <w:rPr>
                <w:rFonts w:ascii="Times New Roman" w:eastAsia="Times New Roman" w:hAnsi="Times New Roman" w:cs="Times New Roman"/>
                <w:sz w:val="20"/>
                <w:szCs w:val="20"/>
                <w:lang w:eastAsia="pl-PL"/>
              </w:rPr>
              <w:t xml:space="preserve"> </w:t>
            </w:r>
            <w:r w:rsidR="00527E22" w:rsidRPr="00154BF9">
              <w:t xml:space="preserve"> </w:t>
            </w:r>
            <w:r w:rsidR="00527E22" w:rsidRPr="00154BF9">
              <w:rPr>
                <w:rFonts w:ascii="Times New Roman" w:eastAsia="Times New Roman" w:hAnsi="Times New Roman" w:cs="Times New Roman"/>
                <w:sz w:val="20"/>
                <w:szCs w:val="20"/>
                <w:lang w:eastAsia="pl-PL"/>
              </w:rPr>
              <w:t xml:space="preserve">lub </w:t>
            </w:r>
            <w:proofErr w:type="spellStart"/>
            <w:r w:rsidR="00527E22" w:rsidRPr="00154BF9">
              <w:rPr>
                <w:rFonts w:ascii="Times New Roman" w:eastAsia="Times New Roman" w:hAnsi="Times New Roman" w:cs="Times New Roman"/>
                <w:sz w:val="20"/>
                <w:szCs w:val="20"/>
                <w:lang w:eastAsia="pl-PL"/>
              </w:rPr>
              <w:t>filgotynibem</w:t>
            </w:r>
            <w:proofErr w:type="spellEnd"/>
            <w:r w:rsidR="00527E22" w:rsidRPr="00154BF9">
              <w:rPr>
                <w:rFonts w:ascii="Times New Roman" w:eastAsia="Times New Roman" w:hAnsi="Times New Roman" w:cs="Times New Roman"/>
                <w:sz w:val="20"/>
                <w:szCs w:val="20"/>
                <w:lang w:eastAsia="pl-PL"/>
              </w:rPr>
              <w:t xml:space="preserve"> </w:t>
            </w:r>
            <w:r w:rsidR="005810F1" w:rsidRPr="00154BF9">
              <w:rPr>
                <w:rFonts w:ascii="Times New Roman" w:eastAsia="Times New Roman" w:hAnsi="Times New Roman" w:cs="Times New Roman"/>
                <w:sz w:val="20"/>
                <w:szCs w:val="20"/>
                <w:lang w:eastAsia="pl-PL"/>
              </w:rPr>
              <w:t xml:space="preserve">lub </w:t>
            </w:r>
            <w:proofErr w:type="spellStart"/>
            <w:r w:rsidR="005810F1" w:rsidRPr="00154BF9">
              <w:rPr>
                <w:rFonts w:ascii="Times New Roman" w:eastAsia="Times New Roman" w:hAnsi="Times New Roman" w:cs="Times New Roman"/>
                <w:sz w:val="20"/>
                <w:szCs w:val="20"/>
                <w:lang w:eastAsia="pl-PL"/>
              </w:rPr>
              <w:t>anakinrą</w:t>
            </w:r>
            <w:proofErr w:type="spellEnd"/>
            <w:r w:rsidR="005810F1" w:rsidRPr="00154BF9">
              <w:rPr>
                <w:rFonts w:ascii="Times New Roman" w:eastAsia="Times New Roman" w:hAnsi="Times New Roman" w:cs="Times New Roman"/>
                <w:sz w:val="20"/>
                <w:szCs w:val="20"/>
                <w:lang w:eastAsia="pl-PL"/>
              </w:rPr>
              <w:t xml:space="preserve"> </w:t>
            </w:r>
            <w:r w:rsidR="00C63D99">
              <w:t xml:space="preserve"> </w:t>
            </w:r>
            <w:r w:rsidR="00C63D99" w:rsidRPr="00C63D99">
              <w:rPr>
                <w:rFonts w:ascii="Times New Roman" w:eastAsia="Times New Roman" w:hAnsi="Times New Roman" w:cs="Times New Roman"/>
                <w:sz w:val="20"/>
                <w:szCs w:val="20"/>
                <w:lang w:eastAsia="pl-PL"/>
              </w:rPr>
              <w:t xml:space="preserve">lub </w:t>
            </w:r>
            <w:proofErr w:type="spellStart"/>
            <w:r w:rsidR="00C63D99" w:rsidRPr="00C63D99">
              <w:rPr>
                <w:rFonts w:ascii="Times New Roman" w:eastAsia="Times New Roman" w:hAnsi="Times New Roman" w:cs="Times New Roman"/>
                <w:sz w:val="20"/>
                <w:szCs w:val="20"/>
                <w:lang w:eastAsia="pl-PL"/>
              </w:rPr>
              <w:t>kanakinumabem</w:t>
            </w:r>
            <w:proofErr w:type="spellEnd"/>
            <w:r w:rsidR="00C63D99" w:rsidRPr="00C63D9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limfocytów</w:t>
            </w:r>
            <w:r w:rsidR="0052643B" w:rsidRPr="00154BF9">
              <w:rPr>
                <w:rFonts w:ascii="Times New Roman" w:eastAsia="Times New Roman" w:hAnsi="Times New Roman" w:cs="Times New Roman"/>
                <w:sz w:val="20"/>
                <w:szCs w:val="20"/>
                <w:lang w:eastAsia="pl-PL"/>
              </w:rPr>
              <w:t xml:space="preserve"> </w:t>
            </w:r>
          </w:p>
          <w:p w14:paraId="3C01011D"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płytek krwi (PLT);</w:t>
            </w:r>
          </w:p>
          <w:p w14:paraId="05AD8666"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035EE559"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2B8F8AD8"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3D93F034" w14:textId="5C99C699"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77D588EC" w14:textId="000EB4EE" w:rsidR="009D7AE1"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55F2B35A" w14:textId="68DA0A73" w:rsidR="009D7AE1" w:rsidRPr="00154BF9" w:rsidRDefault="000B6F95" w:rsidP="007F271B">
            <w:pPr>
              <w:numPr>
                <w:ilvl w:val="3"/>
                <w:numId w:val="22"/>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cholesterolu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370A55"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370A55" w:rsidRPr="00154BF9">
              <w:rPr>
                <w:rFonts w:ascii="Times New Roman" w:eastAsia="Times New Roman" w:hAnsi="Times New Roman" w:cs="Times New Roman"/>
                <w:sz w:val="20"/>
                <w:szCs w:val="20"/>
                <w:lang w:eastAsia="pl-PL"/>
              </w:rPr>
              <w:t>baricytynibem</w:t>
            </w:r>
            <w:proofErr w:type="spellEnd"/>
            <w:r w:rsidR="0052643B" w:rsidRPr="00154BF9">
              <w:rPr>
                <w:rFonts w:ascii="Times New Roman" w:eastAsia="Times New Roman" w:hAnsi="Times New Roman" w:cs="Times New Roman"/>
                <w:sz w:val="20"/>
                <w:szCs w:val="20"/>
                <w:lang w:eastAsia="pl-PL"/>
              </w:rPr>
              <w:t xml:space="preserve"> </w:t>
            </w:r>
            <w:r w:rsidR="0068170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68170D" w:rsidRPr="00154BF9">
              <w:rPr>
                <w:rFonts w:ascii="Times New Roman" w:eastAsia="Times New Roman" w:hAnsi="Times New Roman" w:cs="Times New Roman"/>
                <w:sz w:val="20"/>
                <w:szCs w:val="20"/>
                <w:lang w:eastAsia="pl-PL"/>
              </w:rPr>
              <w:t>tofacytynibem</w:t>
            </w:r>
            <w:proofErr w:type="spellEnd"/>
            <w:r w:rsidR="0052643B" w:rsidRPr="00154BF9">
              <w:rPr>
                <w:rFonts w:ascii="Times New Roman" w:hAnsi="Times New Roman" w:cs="Times New Roman"/>
                <w:sz w:val="20"/>
                <w:szCs w:val="20"/>
              </w:rPr>
              <w:t xml:space="preserve"> </w:t>
            </w:r>
            <w:r w:rsidR="001F28D2"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00EA4A2E" w:rsidRPr="00154BF9">
              <w:rPr>
                <w:rFonts w:ascii="Times New Roman" w:eastAsia="Times New Roman" w:hAnsi="Times New Roman" w:cs="Times New Roman"/>
                <w:sz w:val="20"/>
                <w:szCs w:val="20"/>
                <w:lang w:eastAsia="pl-PL"/>
              </w:rPr>
              <w:t>upadacytynibem</w:t>
            </w:r>
            <w:proofErr w:type="spellEnd"/>
            <w:r w:rsidR="00EA4A2E" w:rsidRPr="00154BF9">
              <w:rPr>
                <w:rFonts w:ascii="Times New Roman" w:eastAsia="Times New Roman" w:hAnsi="Times New Roman" w:cs="Times New Roman"/>
                <w:sz w:val="20"/>
                <w:szCs w:val="20"/>
                <w:lang w:eastAsia="pl-PL"/>
              </w:rPr>
              <w:t xml:space="preserve"> </w:t>
            </w:r>
            <w:r w:rsidR="00EA4A2E" w:rsidRPr="00154BF9">
              <w:t>lub</w:t>
            </w:r>
            <w:r w:rsidR="00527E22" w:rsidRPr="00154BF9">
              <w:rPr>
                <w:rFonts w:ascii="Times New Roman" w:eastAsia="Times New Roman" w:hAnsi="Times New Roman" w:cs="Times New Roman"/>
                <w:sz w:val="20"/>
                <w:szCs w:val="20"/>
                <w:lang w:eastAsia="pl-PL"/>
              </w:rPr>
              <w:t xml:space="preserve"> </w:t>
            </w:r>
            <w:proofErr w:type="spellStart"/>
            <w:r w:rsidR="00527E22" w:rsidRPr="00154BF9">
              <w:rPr>
                <w:rFonts w:ascii="Times New Roman" w:eastAsia="Times New Roman" w:hAnsi="Times New Roman" w:cs="Times New Roman"/>
                <w:sz w:val="20"/>
                <w:szCs w:val="20"/>
                <w:lang w:eastAsia="pl-PL"/>
              </w:rPr>
              <w:t>filgotynibem</w:t>
            </w:r>
            <w:proofErr w:type="spellEnd"/>
          </w:p>
          <w:p w14:paraId="45F76A33" w14:textId="6B3E3F8B" w:rsidR="00462B7E" w:rsidRPr="00154BF9" w:rsidRDefault="009D7AE1"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
          <w:p w14:paraId="5AD77A01" w14:textId="6BA6DE9F" w:rsidR="009D7AE1" w:rsidRPr="00154BF9" w:rsidRDefault="009D7AE1"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obliczyć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wskaźnika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hAnsi="Times New Roman" w:cs="Times New Roman"/>
                <w:sz w:val="20"/>
                <w:szCs w:val="20"/>
              </w:rPr>
              <w:t xml:space="preserve"> </w:t>
            </w:r>
            <w:r w:rsidR="00B42909"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B42909" w:rsidRPr="00154BF9">
              <w:rPr>
                <w:rFonts w:ascii="Times New Roman" w:eastAsia="Times New Roman" w:hAnsi="Times New Roman" w:cs="Times New Roman"/>
                <w:sz w:val="20"/>
                <w:szCs w:val="20"/>
                <w:lang w:eastAsia="pl-PL"/>
              </w:rPr>
              <w:t>AOSD</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1770714D" w14:textId="0794C979" w:rsidR="009D7AE1" w:rsidRPr="00154BF9" w:rsidRDefault="009D7AE1"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2759BE0A" w14:textId="77777777" w:rsidR="00F650EC" w:rsidRPr="00154BF9" w:rsidRDefault="00F650EC"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p>
          <w:p w14:paraId="4FB750E4" w14:textId="4C2B6234" w:rsidR="009D7AE1" w:rsidRPr="00154BF9" w:rsidRDefault="009D7AE1" w:rsidP="007F271B">
            <w:pPr>
              <w:numPr>
                <w:ilvl w:val="1"/>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bCs/>
                <w:sz w:val="20"/>
                <w:szCs w:val="20"/>
                <w:lang w:eastAsia="pl-PL"/>
              </w:rPr>
              <w:t>Monitorowanie</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terapii</w:t>
            </w:r>
            <w:r w:rsidR="0052643B" w:rsidRPr="00154BF9">
              <w:rPr>
                <w:rFonts w:ascii="Times New Roman" w:eastAsia="Times New Roman" w:hAnsi="Times New Roman" w:cs="Times New Roman"/>
                <w:b/>
                <w:bCs/>
                <w:sz w:val="20"/>
                <w:szCs w:val="20"/>
                <w:lang w:eastAsia="pl-PL"/>
              </w:rPr>
              <w:t xml:space="preserve"> </w:t>
            </w:r>
            <w:proofErr w:type="spellStart"/>
            <w:r w:rsidRPr="00154BF9">
              <w:rPr>
                <w:rFonts w:ascii="Times New Roman" w:eastAsia="Times New Roman" w:hAnsi="Times New Roman" w:cs="Times New Roman"/>
                <w:b/>
                <w:bCs/>
                <w:sz w:val="20"/>
                <w:szCs w:val="20"/>
                <w:lang w:eastAsia="pl-PL"/>
              </w:rPr>
              <w:t>rytuksymabem</w:t>
            </w:r>
            <w:proofErr w:type="spellEnd"/>
            <w:r w:rsidR="0052643B" w:rsidRPr="00154BF9">
              <w:rPr>
                <w:rFonts w:ascii="Times New Roman" w:eastAsia="Times New Roman" w:hAnsi="Times New Roman" w:cs="Times New Roman"/>
                <w:sz w:val="20"/>
                <w:szCs w:val="20"/>
                <w:lang w:eastAsia="pl-PL"/>
              </w:rPr>
              <w:t xml:space="preserve"> </w:t>
            </w:r>
            <w:r w:rsidR="00F650EC"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r w:rsidR="0052643B" w:rsidRPr="00154BF9">
              <w:rPr>
                <w:rFonts w:ascii="Times New Roman" w:eastAsia="Times New Roman" w:hAnsi="Times New Roman" w:cs="Times New Roman"/>
                <w:sz w:val="20"/>
                <w:szCs w:val="20"/>
                <w:lang w:eastAsia="pl-PL"/>
              </w:rPr>
              <w:t xml:space="preserve"> </w:t>
            </w:r>
          </w:p>
          <w:p w14:paraId="46A72454" w14:textId="4B1A32A3" w:rsidR="009D7AE1" w:rsidRPr="00154BF9" w:rsidRDefault="009D7AE1"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p>
          <w:p w14:paraId="3FF43843"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wartości odczynu Biernackiego (OB);</w:t>
            </w:r>
          </w:p>
          <w:p w14:paraId="6BE14552"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2A73BAC2"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5BD4C7CD" w14:textId="3441F444"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274514A6" w14:textId="77777777" w:rsidR="000B6F95" w:rsidRPr="00154BF9" w:rsidRDefault="000B6F95" w:rsidP="007F271B">
            <w:pPr>
              <w:pStyle w:val="Akapitzlist"/>
              <w:numPr>
                <w:ilvl w:val="3"/>
                <w:numId w:val="22"/>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0BF12AB5" w14:textId="5D17D5B5" w:rsidR="009D7AE1" w:rsidRPr="00154BF9" w:rsidRDefault="000B6F95"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immunoglobulin</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G</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surowicy</w:t>
            </w:r>
            <w:r w:rsidR="004D380C">
              <w:rPr>
                <w:rFonts w:ascii="Times New Roman" w:eastAsia="Times New Roman" w:hAnsi="Times New Roman" w:cs="Times New Roman"/>
                <w:sz w:val="20"/>
                <w:szCs w:val="20"/>
                <w:lang w:eastAsia="pl-PL"/>
              </w:rPr>
              <w:t>;</w:t>
            </w:r>
          </w:p>
          <w:p w14:paraId="3E0026FD" w14:textId="1EC35113" w:rsidR="009D7AE1" w:rsidRPr="00154BF9" w:rsidRDefault="009D7AE1" w:rsidP="007F271B">
            <w:pPr>
              <w:pStyle w:val="Akapitzlist"/>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obliczyć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wskaźnika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SDAI,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p>
          <w:p w14:paraId="26E48B75" w14:textId="3ACDCC92" w:rsidR="009D7AE1" w:rsidRPr="00154BF9" w:rsidRDefault="009D7AE1"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AF406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każdego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p>
          <w:p w14:paraId="3A300AE4" w14:textId="680193B8" w:rsidR="00CA7829" w:rsidRPr="00154BF9" w:rsidRDefault="00CA7829"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 xml:space="preserve">Zespół Koordynacyjny w celu monitorowania </w:t>
            </w:r>
            <w:r w:rsidR="006675ED" w:rsidRPr="00154BF9">
              <w:rPr>
                <w:rFonts w:ascii="Times New Roman" w:eastAsia="Times New Roman" w:hAnsi="Times New Roman" w:cs="Times New Roman"/>
                <w:sz w:val="20"/>
                <w:szCs w:val="20"/>
                <w:lang w:eastAsia="pl-PL"/>
              </w:rPr>
              <w:t>adekwatnej odpowiedzi na</w:t>
            </w:r>
            <w:r w:rsidR="000B6F95" w:rsidRPr="00154BF9">
              <w:rPr>
                <w:rFonts w:ascii="Times New Roman" w:eastAsia="Times New Roman" w:hAnsi="Times New Roman" w:cs="Times New Roman"/>
                <w:sz w:val="20"/>
                <w:szCs w:val="20"/>
                <w:lang w:eastAsia="pl-PL"/>
              </w:rPr>
              <w:t xml:space="preserve"> leczeni</w:t>
            </w:r>
            <w:r w:rsidR="006675ED" w:rsidRPr="00154BF9">
              <w:rPr>
                <w:rFonts w:ascii="Times New Roman" w:eastAsia="Times New Roman" w:hAnsi="Times New Roman" w:cs="Times New Roman"/>
                <w:sz w:val="20"/>
                <w:szCs w:val="20"/>
                <w:lang w:eastAsia="pl-PL"/>
              </w:rPr>
              <w:t>e</w:t>
            </w:r>
            <w:r w:rsidRPr="00154BF9">
              <w:rPr>
                <w:rFonts w:ascii="Times New Roman" w:eastAsia="Times New Roman" w:hAnsi="Times New Roman" w:cs="Times New Roman"/>
                <w:sz w:val="20"/>
                <w:szCs w:val="20"/>
                <w:lang w:eastAsia="pl-PL"/>
              </w:rPr>
              <w:t xml:space="preserve">, na podstawie danych gromadzonych w elektronicznym systemie monitorowania programów lekowych podsumowuje wyniki leczenia w programie lekowym na koniec każdego roku. </w:t>
            </w:r>
          </w:p>
          <w:p w14:paraId="601E974E" w14:textId="77777777" w:rsidR="00CA7829" w:rsidRPr="00154BF9" w:rsidRDefault="00CA7829" w:rsidP="007F271B">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Możliwe jest, po wyrażeniu zgody przez lekarza prowadzącego terapię, przeprowadzenie wizyty w programie w formie zdalnej konsultacji i przesunięcie wykonania badań w programie na późniejszy okres o ile nie stanowi to zagrożenia dla zdrowia pacjenta i pozostaje bez wpływu na skuteczność i bezpieczeństwo prowadzonej terapii. W takiej sytuacji możliwe jest wydanie leków osobie przez niego upoważnionej w ilości każdorazowo nie większej niż niezbędna do zabezpieczenia 4-6 miesięcy terapii (w zależności od indywidualnego dawkowania oraz wielkości opakowań poszczególnych leków). Opisane powyżej postępowanie, w tym wynik zdalnej konsultacji i ocena stanu zdrowia dokonana przez lekarza prowadzącego, powinno zostać odnotowane w dokumentacji medycznej pacjenta oraz elektronicznym systemie monitorowania programów lekowych. Osobiste stawiennictwo pacjenta w ośrodku prowadzącym terapię nie może być jednak rzadsze niż 2 razy w ciągu każdych kolejnych 12 miesięcy z wyjątkiem sytuacji nadzwyczajnych, w tym zjawisk epidemicznych, kiedy dopuszcza się osobiste stawiennictwo w ośrodku prowadzącym terapię nie rzadziej niż 1 raz w ciągu każdych kolejnych 12 miesięcy.</w:t>
            </w:r>
          </w:p>
          <w:p w14:paraId="28C6CF49" w14:textId="77777777" w:rsidR="007050E5" w:rsidRPr="00154BF9" w:rsidRDefault="007050E5" w:rsidP="007F271B">
            <w:pPr>
              <w:spacing w:after="60" w:line="276" w:lineRule="auto"/>
              <w:ind w:left="357"/>
              <w:jc w:val="both"/>
              <w:rPr>
                <w:rFonts w:ascii="Times New Roman" w:eastAsia="Times New Roman" w:hAnsi="Times New Roman" w:cs="Times New Roman"/>
                <w:sz w:val="20"/>
                <w:szCs w:val="20"/>
                <w:lang w:eastAsia="pl-PL"/>
              </w:rPr>
            </w:pPr>
          </w:p>
          <w:p w14:paraId="6E0AFDCE" w14:textId="6F51139F" w:rsidR="009D7AE1" w:rsidRPr="00154BF9" w:rsidRDefault="009D7AE1" w:rsidP="007F271B">
            <w:pPr>
              <w:pStyle w:val="Akapitzlist"/>
              <w:widowControl w:val="0"/>
              <w:numPr>
                <w:ilvl w:val="0"/>
                <w:numId w:val="22"/>
              </w:numPr>
              <w:autoSpaceDE w:val="0"/>
              <w:autoSpaceDN w:val="0"/>
              <w:adjustRightInd w:val="0"/>
              <w:spacing w:after="60" w:line="276" w:lineRule="auto"/>
              <w:contextualSpacing w:val="0"/>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36B7C352" w14:textId="44FE19AD" w:rsidR="009D7AE1" w:rsidRPr="00154BF9" w:rsidRDefault="00946409"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g</w:t>
            </w:r>
            <w:r w:rsidR="009D7AE1" w:rsidRPr="00154BF9">
              <w:rPr>
                <w:rFonts w:ascii="Times New Roman" w:eastAsia="Times New Roman" w:hAnsi="Times New Roman" w:cs="Times New Roman"/>
                <w:sz w:val="20"/>
                <w:szCs w:val="20"/>
                <w:lang w:eastAsia="pl-PL"/>
              </w:rPr>
              <w:t>romadzenie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dokumentacji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każdorazowe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przedstawianie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żądanie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kontrolerów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Narodowego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Funduszu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Zdrowia</w:t>
            </w:r>
            <w:r w:rsidRPr="00154BF9">
              <w:rPr>
                <w:rFonts w:ascii="Times New Roman" w:eastAsia="Times New Roman" w:hAnsi="Times New Roman" w:cs="Times New Roman"/>
                <w:sz w:val="20"/>
                <w:szCs w:val="20"/>
                <w:lang w:eastAsia="pl-PL"/>
              </w:rPr>
              <w:t>;</w:t>
            </w:r>
          </w:p>
          <w:p w14:paraId="42CCE174" w14:textId="18294135" w:rsidR="009D7AE1" w:rsidRPr="00154BF9" w:rsidRDefault="00946409"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zupełnianie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zawartych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elektronicznym</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systemie</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dostępnym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pomocą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aplikacji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internetowej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udostępnionej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częstotliwością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zakończenie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Pr="00154BF9">
              <w:rPr>
                <w:rFonts w:ascii="Times New Roman" w:eastAsia="Times New Roman" w:hAnsi="Times New Roman" w:cs="Times New Roman"/>
                <w:sz w:val="20"/>
                <w:szCs w:val="20"/>
                <w:lang w:eastAsia="pl-PL"/>
              </w:rPr>
              <w:t>;</w:t>
            </w:r>
          </w:p>
          <w:p w14:paraId="48F1EF9D" w14:textId="12795B81" w:rsidR="009D7AE1" w:rsidRPr="00154BF9" w:rsidRDefault="00946409" w:rsidP="007F271B">
            <w:pPr>
              <w:numPr>
                <w:ilvl w:val="3"/>
                <w:numId w:val="22"/>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rzekazywanie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sprawozdawczo-rozliczeniowych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przekazuje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papierowej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elektronicznej,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opublikowanymi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NFZ</w:t>
            </w:r>
            <w:r w:rsidR="009D7AE1" w:rsidRPr="00154BF9">
              <w:rPr>
                <w:rFonts w:ascii="Times New Roman" w:eastAsia="Times New Roman" w:hAnsi="Times New Roman" w:cs="Times New Roman"/>
                <w:sz w:val="20"/>
                <w:szCs w:val="20"/>
                <w:lang w:eastAsia="pl-PL"/>
              </w:rPr>
              <w:t>.</w:t>
            </w:r>
          </w:p>
          <w:p w14:paraId="04823706" w14:textId="77777777" w:rsidR="009D7AE1" w:rsidRPr="00154BF9" w:rsidRDefault="009D7AE1" w:rsidP="00F650EC">
            <w:pPr>
              <w:suppressAutoHyphens/>
              <w:spacing w:after="60" w:line="276" w:lineRule="auto"/>
              <w:ind w:left="48"/>
              <w:jc w:val="both"/>
              <w:rPr>
                <w:rFonts w:ascii="Times New Roman" w:eastAsia="Times New Roman" w:hAnsi="Times New Roman" w:cs="Times New Roman"/>
                <w:b/>
                <w:sz w:val="20"/>
                <w:szCs w:val="20"/>
                <w:lang w:eastAsia="pl-PL"/>
              </w:rPr>
            </w:pPr>
          </w:p>
        </w:tc>
      </w:tr>
      <w:tr w:rsidR="00154BF9" w:rsidRPr="00154BF9" w14:paraId="7164677D" w14:textId="77777777" w:rsidTr="00CB2AC0">
        <w:trPr>
          <w:trHeight w:val="567"/>
        </w:trPr>
        <w:tc>
          <w:tcPr>
            <w:tcW w:w="0" w:type="auto"/>
            <w:gridSpan w:val="3"/>
            <w:tcBorders>
              <w:top w:val="single" w:sz="4" w:space="0" w:color="auto"/>
              <w:left w:val="single" w:sz="4" w:space="0" w:color="auto"/>
              <w:bottom w:val="single" w:sz="4" w:space="0" w:color="auto"/>
              <w:right w:val="single" w:sz="4" w:space="0" w:color="auto"/>
            </w:tcBorders>
            <w:vAlign w:val="center"/>
          </w:tcPr>
          <w:p w14:paraId="2C090729" w14:textId="31A08E44" w:rsidR="009D7AE1" w:rsidRPr="00154BF9" w:rsidRDefault="009D7AE1" w:rsidP="00B27143">
            <w:pPr>
              <w:spacing w:after="60" w:line="240" w:lineRule="auto"/>
              <w:jc w:val="center"/>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lastRenderedPageBreak/>
              <w:t>MŁODZIEŃCZE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IDIOPATYCZNE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ZAPALENIE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STAWÓW</w:t>
            </w:r>
            <w:r w:rsidR="00EC7B60">
              <w:rPr>
                <w:rFonts w:ascii="Times New Roman" w:eastAsia="Times New Roman" w:hAnsi="Times New Roman" w:cs="Times New Roman"/>
                <w:b/>
                <w:sz w:val="20"/>
                <w:szCs w:val="20"/>
                <w:lang w:eastAsia="pl-PL"/>
              </w:rPr>
              <w:t xml:space="preserve"> (MIZS)</w:t>
            </w:r>
          </w:p>
        </w:tc>
      </w:tr>
      <w:tr w:rsidR="00154BF9" w:rsidRPr="00154BF9" w14:paraId="280CD3AA" w14:textId="77777777" w:rsidTr="00FE3490">
        <w:tc>
          <w:tcPr>
            <w:tcW w:w="6799" w:type="dxa"/>
            <w:tcBorders>
              <w:top w:val="single" w:sz="4" w:space="0" w:color="auto"/>
              <w:left w:val="single" w:sz="4" w:space="0" w:color="auto"/>
              <w:bottom w:val="single" w:sz="4" w:space="0" w:color="auto"/>
            </w:tcBorders>
          </w:tcPr>
          <w:p w14:paraId="28A20C82" w14:textId="77777777" w:rsidR="00876779" w:rsidRPr="00154BF9" w:rsidRDefault="00876779" w:rsidP="00127ABF">
            <w:p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ramach programu lekowego udostępnia się terapie:</w:t>
            </w:r>
          </w:p>
          <w:p w14:paraId="6BC6A5C0" w14:textId="77777777"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adalimumabem</w:t>
            </w:r>
            <w:proofErr w:type="spellEnd"/>
            <w:r w:rsidRPr="004F7B25">
              <w:rPr>
                <w:rFonts w:ascii="Times New Roman" w:eastAsia="Times New Roman" w:hAnsi="Times New Roman" w:cs="Times New Roman"/>
                <w:i/>
                <w:iCs/>
                <w:color w:val="000000"/>
                <w:sz w:val="20"/>
                <w:szCs w:val="20"/>
                <w:lang w:eastAsia="pl-PL"/>
              </w:rPr>
              <w:t>,</w:t>
            </w:r>
          </w:p>
          <w:p w14:paraId="0C6EE6FF" w14:textId="77777777"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etanerceptem</w:t>
            </w:r>
            <w:proofErr w:type="spellEnd"/>
            <w:r w:rsidRPr="004F7B25">
              <w:rPr>
                <w:rFonts w:ascii="Times New Roman" w:eastAsia="Times New Roman" w:hAnsi="Times New Roman" w:cs="Times New Roman"/>
                <w:i/>
                <w:iCs/>
                <w:color w:val="000000"/>
                <w:sz w:val="20"/>
                <w:szCs w:val="20"/>
                <w:lang w:eastAsia="pl-PL"/>
              </w:rPr>
              <w:t xml:space="preserve">, </w:t>
            </w:r>
          </w:p>
          <w:p w14:paraId="15A07857" w14:textId="0FE7EE3B"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sekukinumabem</w:t>
            </w:r>
            <w:proofErr w:type="spellEnd"/>
            <w:r w:rsidRPr="004F7B25">
              <w:rPr>
                <w:rFonts w:ascii="Times New Roman" w:eastAsia="Times New Roman" w:hAnsi="Times New Roman" w:cs="Times New Roman"/>
                <w:i/>
                <w:iCs/>
                <w:color w:val="000000"/>
                <w:sz w:val="20"/>
                <w:szCs w:val="20"/>
                <w:lang w:eastAsia="pl-PL"/>
              </w:rPr>
              <w:t>,</w:t>
            </w:r>
          </w:p>
          <w:p w14:paraId="483561D2" w14:textId="10237209" w:rsidR="00876779" w:rsidRPr="004F7B25"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4F7B25">
              <w:rPr>
                <w:rFonts w:ascii="Times New Roman" w:eastAsia="Times New Roman" w:hAnsi="Times New Roman" w:cs="Times New Roman"/>
                <w:i/>
                <w:iCs/>
                <w:color w:val="000000"/>
                <w:sz w:val="20"/>
                <w:szCs w:val="20"/>
                <w:lang w:eastAsia="pl-PL"/>
              </w:rPr>
              <w:t>tocilizumabem w postaci dożylnej,</w:t>
            </w:r>
          </w:p>
          <w:p w14:paraId="0E37496B" w14:textId="77777777" w:rsidR="000717B4" w:rsidRDefault="00876779"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sidRPr="004F7B25">
              <w:rPr>
                <w:rFonts w:ascii="Times New Roman" w:eastAsia="Times New Roman" w:hAnsi="Times New Roman" w:cs="Times New Roman"/>
                <w:i/>
                <w:iCs/>
                <w:color w:val="000000"/>
                <w:sz w:val="20"/>
                <w:szCs w:val="20"/>
                <w:lang w:eastAsia="pl-PL"/>
              </w:rPr>
              <w:t>anakinrą</w:t>
            </w:r>
            <w:proofErr w:type="spellEnd"/>
            <w:r w:rsidR="000717B4">
              <w:rPr>
                <w:rFonts w:ascii="Times New Roman" w:eastAsia="Times New Roman" w:hAnsi="Times New Roman" w:cs="Times New Roman"/>
                <w:i/>
                <w:iCs/>
                <w:color w:val="000000"/>
                <w:sz w:val="20"/>
                <w:szCs w:val="20"/>
                <w:lang w:eastAsia="pl-PL"/>
              </w:rPr>
              <w:t>,</w:t>
            </w:r>
          </w:p>
          <w:p w14:paraId="39B92000" w14:textId="77777777" w:rsidR="00C35B46" w:rsidRDefault="000717B4"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proofErr w:type="spellStart"/>
            <w:r>
              <w:rPr>
                <w:rFonts w:ascii="Times New Roman" w:eastAsia="Times New Roman" w:hAnsi="Times New Roman" w:cs="Times New Roman"/>
                <w:i/>
                <w:iCs/>
                <w:color w:val="000000"/>
                <w:sz w:val="20"/>
                <w:szCs w:val="20"/>
                <w:lang w:eastAsia="pl-PL"/>
              </w:rPr>
              <w:t>tofacytynibem</w:t>
            </w:r>
            <w:proofErr w:type="spellEnd"/>
            <w:r w:rsidR="00C35B46">
              <w:rPr>
                <w:rFonts w:ascii="Times New Roman" w:eastAsia="Times New Roman" w:hAnsi="Times New Roman" w:cs="Times New Roman"/>
                <w:i/>
                <w:iCs/>
                <w:color w:val="000000"/>
                <w:sz w:val="20"/>
                <w:szCs w:val="20"/>
                <w:lang w:eastAsia="pl-PL"/>
              </w:rPr>
              <w:t>,</w:t>
            </w:r>
          </w:p>
          <w:p w14:paraId="15093C93" w14:textId="7B0A8304" w:rsidR="00876779" w:rsidRPr="004F7B25" w:rsidRDefault="00C35B46" w:rsidP="00127ABF">
            <w:pPr>
              <w:pStyle w:val="Akapitzlist"/>
              <w:numPr>
                <w:ilvl w:val="0"/>
                <w:numId w:val="27"/>
              </w:numPr>
              <w:autoSpaceDE w:val="0"/>
              <w:autoSpaceDN w:val="0"/>
              <w:adjustRightInd w:val="0"/>
              <w:spacing w:after="60" w:line="276" w:lineRule="auto"/>
              <w:contextualSpacing w:val="0"/>
              <w:jc w:val="both"/>
              <w:rPr>
                <w:rFonts w:ascii="Times New Roman" w:eastAsia="Times New Roman" w:hAnsi="Times New Roman" w:cs="Times New Roman"/>
                <w:i/>
                <w:iCs/>
                <w:color w:val="000000"/>
                <w:sz w:val="20"/>
                <w:szCs w:val="20"/>
                <w:lang w:eastAsia="pl-PL"/>
              </w:rPr>
            </w:pPr>
            <w:r w:rsidRPr="00C35B46">
              <w:rPr>
                <w:rFonts w:ascii="Times New Roman" w:eastAsia="Times New Roman" w:hAnsi="Times New Roman" w:cs="Times New Roman"/>
                <w:i/>
                <w:iCs/>
                <w:color w:val="000000"/>
                <w:sz w:val="20"/>
                <w:szCs w:val="20"/>
                <w:lang w:eastAsia="pl-PL"/>
              </w:rPr>
              <w:t xml:space="preserve"> </w:t>
            </w:r>
            <w:proofErr w:type="spellStart"/>
            <w:r w:rsidRPr="00C35B46">
              <w:rPr>
                <w:rFonts w:ascii="Times New Roman" w:eastAsia="Times New Roman" w:hAnsi="Times New Roman" w:cs="Times New Roman"/>
                <w:i/>
                <w:iCs/>
                <w:color w:val="000000"/>
                <w:sz w:val="20"/>
                <w:szCs w:val="20"/>
                <w:lang w:eastAsia="pl-PL"/>
              </w:rPr>
              <w:t>kanakinumabe</w:t>
            </w:r>
            <w:r>
              <w:rPr>
                <w:rFonts w:ascii="Times New Roman" w:eastAsia="Times New Roman" w:hAnsi="Times New Roman" w:cs="Times New Roman"/>
                <w:i/>
                <w:iCs/>
                <w:color w:val="000000"/>
                <w:sz w:val="20"/>
                <w:szCs w:val="20"/>
                <w:lang w:eastAsia="pl-PL"/>
              </w:rPr>
              <w:t>m</w:t>
            </w:r>
            <w:proofErr w:type="spellEnd"/>
            <w:r>
              <w:rPr>
                <w:rFonts w:ascii="Times New Roman" w:eastAsia="Times New Roman" w:hAnsi="Times New Roman" w:cs="Times New Roman"/>
                <w:i/>
                <w:iCs/>
                <w:color w:val="000000"/>
                <w:sz w:val="20"/>
                <w:szCs w:val="20"/>
                <w:lang w:eastAsia="pl-PL"/>
              </w:rPr>
              <w:t>.</w:t>
            </w:r>
          </w:p>
          <w:p w14:paraId="1E65938B" w14:textId="77777777" w:rsidR="00876779" w:rsidRPr="004F7B25" w:rsidRDefault="00876779" w:rsidP="00127ABF">
            <w:pPr>
              <w:spacing w:after="60" w:line="276" w:lineRule="auto"/>
              <w:jc w:val="both"/>
              <w:rPr>
                <w:rFonts w:ascii="Times New Roman" w:hAnsi="Times New Roman" w:cs="Times New Roman"/>
                <w:sz w:val="20"/>
                <w:szCs w:val="20"/>
                <w:u w:val="single"/>
              </w:rPr>
            </w:pPr>
            <w:r w:rsidRPr="004F7B25">
              <w:rPr>
                <w:rFonts w:ascii="Times New Roman" w:hAnsi="Times New Roman" w:cs="Times New Roman"/>
                <w:sz w:val="20"/>
                <w:szCs w:val="20"/>
                <w:u w:val="single"/>
              </w:rPr>
              <w:t>zgodnie ze wskazanymi w opisie programu warunkami i kryteriami.</w:t>
            </w:r>
          </w:p>
          <w:p w14:paraId="39DA018E" w14:textId="77777777" w:rsidR="00876779" w:rsidRPr="004F7B25" w:rsidRDefault="00876779" w:rsidP="00127ABF">
            <w:pPr>
              <w:spacing w:after="60" w:line="276" w:lineRule="auto"/>
              <w:jc w:val="both"/>
              <w:rPr>
                <w:rFonts w:ascii="Times New Roman" w:hAnsi="Times New Roman" w:cs="Times New Roman"/>
                <w:sz w:val="20"/>
                <w:szCs w:val="20"/>
              </w:rPr>
            </w:pPr>
            <w:r w:rsidRPr="004F7B25">
              <w:rPr>
                <w:rFonts w:ascii="Times New Roman" w:hAnsi="Times New Roman" w:cs="Times New Roman"/>
                <w:sz w:val="20"/>
                <w:szCs w:val="20"/>
              </w:rPr>
              <w:t>Kwalifikacja świadczeniobiorców do programu przeprowadzana jest przez Zespół Koordynacyjny ds. Leczenia Biologicznego w Chorobach Reumatycznych powoływany przez Prezesa Narodowego Funduszu Zdrowia.</w:t>
            </w:r>
          </w:p>
          <w:p w14:paraId="1439A95F" w14:textId="77777777" w:rsidR="00876779" w:rsidRPr="00154BF9" w:rsidRDefault="00876779" w:rsidP="00127ABF">
            <w:pPr>
              <w:spacing w:after="60" w:line="276" w:lineRule="auto"/>
              <w:ind w:left="227"/>
              <w:jc w:val="both"/>
              <w:rPr>
                <w:rFonts w:ascii="Times New Roman" w:eastAsia="Times New Roman" w:hAnsi="Times New Roman" w:cs="Times New Roman"/>
                <w:b/>
                <w:sz w:val="20"/>
                <w:szCs w:val="20"/>
                <w:lang w:eastAsia="pl-PL"/>
              </w:rPr>
            </w:pPr>
          </w:p>
          <w:p w14:paraId="33E31E12" w14:textId="5027717D" w:rsidR="009D7AE1" w:rsidRPr="004F7B25" w:rsidRDefault="009D7AE1" w:rsidP="00127ABF">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F7B25">
              <w:rPr>
                <w:rFonts w:ascii="Times New Roman" w:eastAsia="Times New Roman" w:hAnsi="Times New Roman" w:cs="Times New Roman"/>
                <w:b/>
                <w:bCs/>
                <w:sz w:val="20"/>
                <w:szCs w:val="20"/>
                <w:lang w:eastAsia="pl-PL"/>
              </w:rPr>
              <w:t>Kryteria</w:t>
            </w:r>
            <w:r w:rsidR="0052643B" w:rsidRPr="004F7B25">
              <w:rPr>
                <w:rFonts w:ascii="Times New Roman" w:eastAsia="Times New Roman" w:hAnsi="Times New Roman" w:cs="Times New Roman"/>
                <w:b/>
                <w:bCs/>
                <w:sz w:val="20"/>
                <w:szCs w:val="20"/>
                <w:lang w:eastAsia="pl-PL"/>
              </w:rPr>
              <w:t xml:space="preserve"> </w:t>
            </w:r>
            <w:r w:rsidRPr="004F7B25">
              <w:rPr>
                <w:rFonts w:ascii="Times New Roman" w:eastAsia="Times New Roman" w:hAnsi="Times New Roman" w:cs="Times New Roman"/>
                <w:b/>
                <w:bCs/>
                <w:sz w:val="20"/>
                <w:szCs w:val="20"/>
                <w:lang w:eastAsia="pl-PL"/>
              </w:rPr>
              <w:t>kwalifikacji</w:t>
            </w:r>
          </w:p>
          <w:p w14:paraId="052A9109" w14:textId="1AD2A98C" w:rsidR="009F08ED" w:rsidRPr="00154BF9" w:rsidRDefault="009F08ED" w:rsidP="00127ABF">
            <w:pPr>
              <w:spacing w:after="60" w:line="276" w:lineRule="auto"/>
              <w:jc w:val="both"/>
              <w:rPr>
                <w:rFonts w:ascii="Times New Roman" w:eastAsia="Times New Roman" w:hAnsi="Times New Roman" w:cs="Times New Roman"/>
                <w:bCs/>
                <w:sz w:val="20"/>
                <w:szCs w:val="20"/>
                <w:lang w:eastAsia="pl-PL"/>
              </w:rPr>
            </w:pPr>
            <w:r w:rsidRPr="00154BF9">
              <w:rPr>
                <w:rFonts w:ascii="Times New Roman" w:eastAsia="Times New Roman" w:hAnsi="Times New Roman" w:cs="Times New Roman"/>
                <w:bCs/>
                <w:sz w:val="20"/>
                <w:szCs w:val="20"/>
                <w:lang w:eastAsia="pl-PL"/>
              </w:rPr>
              <w:t>Do programu kwalifikowani są pacjenci spełniający łącznie następujące kryteria:</w:t>
            </w:r>
          </w:p>
          <w:p w14:paraId="75795770" w14:textId="35DAF8AF"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adalimumabem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spełniających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rozpoznania:</w:t>
            </w:r>
          </w:p>
          <w:p w14:paraId="55568B7C" w14:textId="698D502A" w:rsidR="00A857A0" w:rsidRPr="00154BF9" w:rsidRDefault="009D7AE1" w:rsidP="00127ABF">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wielostawowej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młodzieńczego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idiopatycznego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obrzękniętymi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ograniczonej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ruchomości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bolesnością,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przyspieszonym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normy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CRP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p>
          <w:p w14:paraId="4B1C6803" w14:textId="7107DA81" w:rsidR="009D7AE1" w:rsidRPr="00154BF9" w:rsidRDefault="009D7AE1"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3D6B4D83" w14:textId="69DE2F50" w:rsidR="00A857A0" w:rsidRPr="00154BF9" w:rsidRDefault="009D7AE1" w:rsidP="00127ABF">
            <w:pPr>
              <w:numPr>
                <w:ilvl w:val="4"/>
                <w:numId w:val="19"/>
              </w:numPr>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nielicznostawowej</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rozszerzającej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przetrwałej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ponad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czynnikach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złej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prognozy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obecnością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obrzękniętych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ograniczoną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ruchomością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bolesnością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bólem,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tkliwością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obiema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cechami,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p>
          <w:p w14:paraId="1BFD9925" w14:textId="6F0B2572" w:rsidR="008B5670" w:rsidRPr="00FC0580" w:rsidRDefault="009D7AE1"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
          <w:p w14:paraId="38964CD5" w14:textId="50B3C79C" w:rsidR="000B0258" w:rsidRPr="002A6ECB" w:rsidRDefault="009D7AE1" w:rsidP="00127ABF">
            <w:pPr>
              <w:numPr>
                <w:ilvl w:val="4"/>
                <w:numId w:val="1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niepoddającym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minimum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niezależnie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p>
          <w:p w14:paraId="361E5DAE" w14:textId="77777777" w:rsidR="000B0258" w:rsidRDefault="000B0258" w:rsidP="00127ABF">
            <w:pPr>
              <w:pStyle w:val="Default"/>
              <w:spacing w:after="60" w:line="276" w:lineRule="auto"/>
              <w:jc w:val="both"/>
              <w:rPr>
                <w:color w:val="auto"/>
              </w:rPr>
            </w:pPr>
          </w:p>
          <w:p w14:paraId="45FCB0BB" w14:textId="1F57C0A3" w:rsidR="000B0258" w:rsidRDefault="000B0258" w:rsidP="00127ABF">
            <w:pPr>
              <w:pStyle w:val="Default"/>
              <w:numPr>
                <w:ilvl w:val="3"/>
                <w:numId w:val="20"/>
              </w:numPr>
              <w:spacing w:after="60" w:line="276" w:lineRule="auto"/>
              <w:jc w:val="both"/>
              <w:rPr>
                <w:sz w:val="20"/>
                <w:szCs w:val="20"/>
              </w:rPr>
            </w:pPr>
            <w:r>
              <w:rPr>
                <w:sz w:val="20"/>
                <w:szCs w:val="20"/>
              </w:rPr>
              <w:t xml:space="preserve">Do terapii </w:t>
            </w:r>
            <w:proofErr w:type="spellStart"/>
            <w:r>
              <w:rPr>
                <w:sz w:val="20"/>
                <w:szCs w:val="20"/>
              </w:rPr>
              <w:t>tofacytynibem</w:t>
            </w:r>
            <w:proofErr w:type="spellEnd"/>
            <w:r>
              <w:rPr>
                <w:sz w:val="20"/>
                <w:szCs w:val="20"/>
              </w:rPr>
              <w:t xml:space="preserve"> kwalifikuje się pacjentów od 2 roku życia, spełniających kryteria rozpoznania: </w:t>
            </w:r>
          </w:p>
          <w:p w14:paraId="0A14CB95" w14:textId="77777777" w:rsidR="000B0258" w:rsidRDefault="000B0258" w:rsidP="00127ABF">
            <w:pPr>
              <w:pStyle w:val="Default"/>
              <w:spacing w:after="60" w:line="276" w:lineRule="auto"/>
              <w:jc w:val="both"/>
              <w:rPr>
                <w:sz w:val="20"/>
                <w:szCs w:val="20"/>
              </w:rPr>
            </w:pPr>
          </w:p>
          <w:p w14:paraId="11BD1F1A" w14:textId="7EAA190A" w:rsidR="008B5670" w:rsidRPr="00FC0580" w:rsidRDefault="008B5670" w:rsidP="00127ABF">
            <w:pPr>
              <w:pStyle w:val="Akapitzlist"/>
              <w:numPr>
                <w:ilvl w:val="4"/>
                <w:numId w:val="20"/>
              </w:numPr>
              <w:spacing w:after="60" w:line="276" w:lineRule="auto"/>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lastRenderedPageBreak/>
              <w:t xml:space="preserve">wielostawowej postaci młodzieńczego idiopatycznego zapalenia stawów (MIZS) z co najmniej 5 obrzękniętymi stawami i co najmniej 3 stawami o ograniczonej ruchomości oraz bolesnością, przyspieszonym powyżej normy OB. lub CRP i oceną przez lekarza aktywności choroby na co najmniej 4 w 10-punktowej skali, mimo leczenia dwoma, wymienionymi w programie lekami modyfikującymi przebieg choroby/lekami immunosupresyjnymi w obowiązujących dawkach (w tym </w:t>
            </w:r>
            <w:proofErr w:type="spellStart"/>
            <w:r w:rsidRPr="00FC0580">
              <w:rPr>
                <w:rFonts w:ascii="Times New Roman" w:eastAsia="Times New Roman" w:hAnsi="Times New Roman" w:cs="Times New Roman"/>
                <w:sz w:val="20"/>
                <w:szCs w:val="20"/>
                <w:lang w:eastAsia="pl-PL"/>
              </w:rPr>
              <w:t>metotreksatem</w:t>
            </w:r>
            <w:proofErr w:type="spellEnd"/>
            <w:r w:rsidRPr="00FC0580">
              <w:rPr>
                <w:rFonts w:ascii="Times New Roman" w:eastAsia="Times New Roman" w:hAnsi="Times New Roman" w:cs="Times New Roman"/>
                <w:sz w:val="20"/>
                <w:szCs w:val="20"/>
                <w:lang w:eastAsia="pl-PL"/>
              </w:rPr>
              <w:t xml:space="preserve">) przez minimum 3 miesiące każdym </w:t>
            </w:r>
          </w:p>
          <w:p w14:paraId="1B979CF9" w14:textId="77777777" w:rsidR="00FC0580" w:rsidRDefault="008B5670"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15EF856C" w14:textId="7F6BEC34" w:rsidR="008B5670" w:rsidRPr="00FC0580" w:rsidRDefault="008B5670" w:rsidP="00127ABF">
            <w:pPr>
              <w:pStyle w:val="Akapitzlist"/>
              <w:numPr>
                <w:ilvl w:val="4"/>
                <w:numId w:val="20"/>
              </w:numPr>
              <w:spacing w:after="60" w:line="276" w:lineRule="auto"/>
              <w:contextualSpacing w:val="0"/>
              <w:jc w:val="both"/>
              <w:rPr>
                <w:rFonts w:ascii="Times New Roman" w:eastAsia="Times New Roman" w:hAnsi="Times New Roman" w:cs="Times New Roman"/>
                <w:sz w:val="20"/>
                <w:szCs w:val="20"/>
                <w:lang w:eastAsia="pl-PL"/>
              </w:rPr>
            </w:pPr>
            <w:proofErr w:type="spellStart"/>
            <w:r w:rsidRPr="00FC0580">
              <w:rPr>
                <w:rFonts w:ascii="Times New Roman" w:eastAsia="Times New Roman" w:hAnsi="Times New Roman" w:cs="Times New Roman"/>
                <w:sz w:val="20"/>
                <w:szCs w:val="20"/>
                <w:lang w:eastAsia="pl-PL"/>
              </w:rPr>
              <w:t>nielicznostawowej</w:t>
            </w:r>
            <w:proofErr w:type="spellEnd"/>
            <w:r w:rsidRPr="00FC0580">
              <w:rPr>
                <w:rFonts w:ascii="Times New Roman" w:eastAsia="Times New Roman" w:hAnsi="Times New Roman" w:cs="Times New Roman"/>
                <w:sz w:val="20"/>
                <w:szCs w:val="20"/>
                <w:lang w:eastAsia="pl-PL"/>
              </w:rPr>
              <w:t xml:space="preserve"> postaci MIZS, rozszerzającej się i przetrwałej ponad 6 miesięcy, przy występujących czynnikach złej prognozy (wg ACR) i z obecnością co najmniej 2 stawów obrzękniętych lub z ograniczoną ruchomością i bolesnością i oceną przez lekarza aktywności choroby na co najmniej 5 w 10-punktowej skali z towarzyszącym bólem, tkliwością lub obiema tymi cechami, mimo leczenia dwoma, wymienionymi w programie lekami modyfikującymi przebieg choroby/lekami immunosupresyjnymi w obowiązujących dawkach (w tym </w:t>
            </w:r>
            <w:proofErr w:type="spellStart"/>
            <w:r w:rsidRPr="00FC0580">
              <w:rPr>
                <w:rFonts w:ascii="Times New Roman" w:eastAsia="Times New Roman" w:hAnsi="Times New Roman" w:cs="Times New Roman"/>
                <w:sz w:val="20"/>
                <w:szCs w:val="20"/>
                <w:lang w:eastAsia="pl-PL"/>
              </w:rPr>
              <w:t>metotreksatem</w:t>
            </w:r>
            <w:proofErr w:type="spellEnd"/>
            <w:r w:rsidRPr="00FC0580">
              <w:rPr>
                <w:rFonts w:ascii="Times New Roman" w:eastAsia="Times New Roman" w:hAnsi="Times New Roman" w:cs="Times New Roman"/>
                <w:sz w:val="20"/>
                <w:szCs w:val="20"/>
                <w:lang w:eastAsia="pl-PL"/>
              </w:rPr>
              <w:t xml:space="preserve">) przez minimum 3 miesiące każdym </w:t>
            </w:r>
          </w:p>
          <w:p w14:paraId="04D23A74" w14:textId="77777777" w:rsidR="00FC0580" w:rsidRDefault="008B5670"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albo </w:t>
            </w:r>
          </w:p>
          <w:p w14:paraId="14DF4CBD" w14:textId="2E62996B" w:rsidR="008B5670" w:rsidRPr="00FC0580" w:rsidRDefault="008B5670" w:rsidP="00127ABF">
            <w:pPr>
              <w:pStyle w:val="Akapitzlist"/>
              <w:numPr>
                <w:ilvl w:val="4"/>
                <w:numId w:val="20"/>
              </w:numPr>
              <w:spacing w:after="60" w:line="276" w:lineRule="auto"/>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t>młodzieńczego łuszczycowego zapalenia stawów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r w:rsidR="00FC0580">
              <w:rPr>
                <w:rFonts w:ascii="Times New Roman" w:eastAsia="Times New Roman" w:hAnsi="Times New Roman" w:cs="Times New Roman"/>
                <w:sz w:val="20"/>
                <w:szCs w:val="20"/>
                <w:lang w:eastAsia="pl-PL"/>
              </w:rPr>
              <w:t>.</w:t>
            </w:r>
          </w:p>
          <w:p w14:paraId="4BB6D405" w14:textId="558FAD73" w:rsidR="008B5670" w:rsidRPr="000B0258" w:rsidRDefault="008B5670" w:rsidP="00127ABF">
            <w:pPr>
              <w:pStyle w:val="Default"/>
              <w:spacing w:after="60" w:line="276" w:lineRule="auto"/>
              <w:jc w:val="both"/>
              <w:rPr>
                <w:sz w:val="20"/>
                <w:szCs w:val="20"/>
              </w:rPr>
            </w:pPr>
          </w:p>
          <w:p w14:paraId="185B73C4" w14:textId="77777777" w:rsidR="00551DED" w:rsidRPr="00154BF9" w:rsidRDefault="00551D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Do terapii </w:t>
            </w:r>
            <w:proofErr w:type="spellStart"/>
            <w:r w:rsidRPr="00154BF9">
              <w:rPr>
                <w:rFonts w:ascii="Times New Roman" w:eastAsia="Times New Roman" w:hAnsi="Times New Roman" w:cs="Times New Roman"/>
                <w:sz w:val="20"/>
                <w:szCs w:val="20"/>
                <w:lang w:eastAsia="pl-PL"/>
              </w:rPr>
              <w:t>sekukinumabem</w:t>
            </w:r>
            <w:proofErr w:type="spellEnd"/>
            <w:r w:rsidRPr="00154BF9">
              <w:rPr>
                <w:rFonts w:ascii="Times New Roman" w:eastAsia="Times New Roman" w:hAnsi="Times New Roman" w:cs="Times New Roman"/>
                <w:sz w:val="20"/>
                <w:szCs w:val="20"/>
                <w:lang w:eastAsia="pl-PL"/>
              </w:rPr>
              <w:t xml:space="preserve"> kwalifikuje się pacjentów od 6 roku życia, spełniających kryteria rozpoznania:</w:t>
            </w:r>
          </w:p>
          <w:p w14:paraId="0774D6D6" w14:textId="657EEEC6" w:rsidR="00551DED" w:rsidRPr="00FC0580" w:rsidRDefault="00551DED" w:rsidP="00127ABF">
            <w:pPr>
              <w:pStyle w:val="Akapitzlist"/>
              <w:numPr>
                <w:ilvl w:val="4"/>
                <w:numId w:val="20"/>
              </w:numPr>
              <w:spacing w:after="60" w:line="276" w:lineRule="auto"/>
              <w:contextualSpacing w:val="0"/>
              <w:rPr>
                <w:rFonts w:ascii="Times New Roman" w:hAnsi="Times New Roman" w:cs="Times New Roman"/>
                <w:sz w:val="20"/>
                <w:szCs w:val="20"/>
                <w:lang w:eastAsia="pl-PL"/>
              </w:rPr>
            </w:pPr>
            <w:r w:rsidRPr="00FC0580">
              <w:rPr>
                <w:rFonts w:ascii="Times New Roman" w:hAnsi="Times New Roman" w:cs="Times New Roman"/>
                <w:sz w:val="20"/>
                <w:szCs w:val="20"/>
                <w:lang w:eastAsia="pl-PL"/>
              </w:rPr>
              <w:t>młodzieńczego łuszczycowego zapalenia stawów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p>
          <w:p w14:paraId="28627ECD" w14:textId="77777777" w:rsidR="00551DED" w:rsidRPr="00FC0580" w:rsidRDefault="00551DED"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FC0580">
              <w:rPr>
                <w:rFonts w:ascii="Times New Roman" w:eastAsia="Times New Roman" w:hAnsi="Times New Roman" w:cs="Times New Roman"/>
                <w:sz w:val="20"/>
                <w:szCs w:val="20"/>
                <w:lang w:eastAsia="pl-PL"/>
              </w:rPr>
              <w:t>albo</w:t>
            </w:r>
          </w:p>
          <w:p w14:paraId="51434852" w14:textId="25EFD852" w:rsidR="00551DED" w:rsidRPr="00FC0580" w:rsidRDefault="00551DED" w:rsidP="00127ABF">
            <w:pPr>
              <w:pStyle w:val="Akapitzlist"/>
              <w:numPr>
                <w:ilvl w:val="4"/>
                <w:numId w:val="20"/>
              </w:numPr>
              <w:spacing w:after="60" w:line="276" w:lineRule="auto"/>
              <w:contextualSpacing w:val="0"/>
              <w:rPr>
                <w:rFonts w:ascii="Times New Roman" w:hAnsi="Times New Roman" w:cs="Times New Roman"/>
                <w:sz w:val="20"/>
                <w:szCs w:val="20"/>
                <w:lang w:eastAsia="pl-PL"/>
              </w:rPr>
            </w:pPr>
            <w:r w:rsidRPr="00FC0580">
              <w:rPr>
                <w:rFonts w:ascii="Times New Roman" w:hAnsi="Times New Roman" w:cs="Times New Roman"/>
                <w:sz w:val="20"/>
                <w:szCs w:val="20"/>
                <w:lang w:eastAsia="pl-PL"/>
              </w:rPr>
              <w:t>zapalenia stawów z zapaleniem przyczepów ścięgnistych zgodnie z kryteriami ILAR z obecnością co najmniej 3 stawów obrzękniętych lub z ograniczoną ruchomością i tkliwością oraz co najmniej jednego aktywnego (lub w wywiadzie) zapalenia przyczepów ścięgnistych lub z aktywnym zapaleniem stawów krzyżowo-biodrowych u pacjentów z nietolerancją lub niezadowalającą odpowiedzią na co najmniej jeden niesteroidowy lek przeciwzapalny stosowany w maksymalnej rekomendowanej lub tolerowanej przez chorego dawce przez okres jednego miesiąca, chyba, że występują przeciwwskazania do jego stosowania  oraz nietolerancją lub niezadowalającą odpowiedzią na co najmniej jeden lek modyfikujący przebieg choroby  stosowany w maksymalnej rekomendowanej lub tolerowanej przez chorego dawce przez okres dwóch miesięcy, chyba, że występują przeciwwskazania do jego stosowania.</w:t>
            </w:r>
          </w:p>
          <w:p w14:paraId="12A35DFD" w14:textId="1323B654" w:rsidR="009D7AE1" w:rsidRPr="00154BF9" w:rsidRDefault="00A56095"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Ponadto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dożylnej</w:t>
            </w:r>
            <w:r w:rsidR="00FE68ED">
              <w:rPr>
                <w:rFonts w:ascii="Times New Roman" w:eastAsia="Times New Roman" w:hAnsi="Times New Roman" w:cs="Times New Roman"/>
                <w:sz w:val="20"/>
                <w:szCs w:val="20"/>
                <w:lang w:eastAsia="pl-PL"/>
              </w:rPr>
              <w:t xml:space="preserve"> </w:t>
            </w:r>
            <w:r w:rsidR="00FE68ED">
              <w:t xml:space="preserve"> </w:t>
            </w:r>
            <w:r w:rsidR="00FE68ED" w:rsidRPr="00FE68ED">
              <w:rPr>
                <w:rFonts w:ascii="Times New Roman" w:eastAsia="Times New Roman" w:hAnsi="Times New Roman" w:cs="Times New Roman"/>
                <w:sz w:val="20"/>
                <w:szCs w:val="20"/>
                <w:lang w:eastAsia="pl-PL"/>
              </w:rPr>
              <w:t xml:space="preserve">lub </w:t>
            </w:r>
            <w:proofErr w:type="spellStart"/>
            <w:r w:rsidR="00FE68ED" w:rsidRPr="00FE68ED">
              <w:rPr>
                <w:rFonts w:ascii="Times New Roman" w:eastAsia="Times New Roman" w:hAnsi="Times New Roman" w:cs="Times New Roman"/>
                <w:sz w:val="20"/>
                <w:szCs w:val="20"/>
                <w:lang w:eastAsia="pl-PL"/>
              </w:rPr>
              <w:t>kanakinumabem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masą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Pr="00154BF9">
              <w:rPr>
                <w:rFonts w:ascii="Times New Roman" w:eastAsia="Times New Roman" w:hAnsi="Times New Roman" w:cs="Times New Roman"/>
                <w:sz w:val="20"/>
                <w:szCs w:val="20"/>
                <w:lang w:eastAsia="pl-PL"/>
              </w:rPr>
              <w:t>)</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rozpoznaniem:</w:t>
            </w:r>
          </w:p>
          <w:p w14:paraId="2CA06D7F" w14:textId="7E72B6A3" w:rsidR="00A857A0" w:rsidRPr="00154BF9" w:rsidRDefault="009D7AE1" w:rsidP="00127ABF">
            <w:pPr>
              <w:numPr>
                <w:ilvl w:val="4"/>
                <w:numId w:val="2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ILAR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1997</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pełnych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dawek</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glikokortykosteroidów</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(GKS)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(doustnie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metyloprednizolonu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./wlew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gorączka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wysokiej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rozumianej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jako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więcej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10-punktowej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p>
          <w:p w14:paraId="20597D9E" w14:textId="588976D3" w:rsidR="009D7AE1" w:rsidRPr="00154BF9" w:rsidRDefault="009D7AE1" w:rsidP="00127ABF">
            <w:pPr>
              <w:pStyle w:val="Akapitzlist"/>
              <w:spacing w:after="60" w:line="276" w:lineRule="auto"/>
              <w:ind w:left="589"/>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albo</w:t>
            </w:r>
          </w:p>
          <w:p w14:paraId="2434CD8C" w14:textId="0ACD5A2F" w:rsidR="009D7AE1" w:rsidRPr="00154BF9" w:rsidRDefault="009D7AE1" w:rsidP="00127ABF">
            <w:pPr>
              <w:numPr>
                <w:ilvl w:val="4"/>
                <w:numId w:val="29"/>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ILAR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1997</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zajęciem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towarzyszącą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gorączką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38</w:t>
            </w:r>
            <w:r w:rsidRPr="004F7B25">
              <w:rPr>
                <w:rFonts w:ascii="Times New Roman" w:eastAsia="Times New Roman" w:hAnsi="Times New Roman" w:cs="Times New Roman"/>
                <w:sz w:val="20"/>
                <w:szCs w:val="20"/>
                <w:lang w:eastAsia="pl-PL"/>
              </w:rPr>
              <w:t>o</w:t>
            </w:r>
            <w:r w:rsidRPr="00154BF9">
              <w:rPr>
                <w:rFonts w:ascii="Times New Roman" w:eastAsia="Times New Roman" w:hAnsi="Times New Roman" w:cs="Times New Roman"/>
                <w:sz w:val="20"/>
                <w:szCs w:val="20"/>
                <w:lang w:eastAsia="pl-PL"/>
              </w:rPr>
              <w:t>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utrzymuje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niewystarczająco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odpowiada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GKS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niższej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0,5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podskórnej),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nietolerancji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p>
          <w:p w14:paraId="18BE41B6" w14:textId="375E9912"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51DED" w:rsidRPr="00154BF9">
              <w:rPr>
                <w:rFonts w:ascii="Times New Roman" w:eastAsia="Times New Roman" w:hAnsi="Times New Roman" w:cs="Times New Roman"/>
                <w:sz w:val="20"/>
                <w:szCs w:val="20"/>
                <w:lang w:eastAsia="pl-PL"/>
              </w:rPr>
              <w:t xml:space="preserve">, </w:t>
            </w:r>
            <w:proofErr w:type="spellStart"/>
            <w:r w:rsidR="00551DED" w:rsidRPr="00154BF9">
              <w:rPr>
                <w:rFonts w:ascii="Times New Roman" w:eastAsia="Times New Roman" w:hAnsi="Times New Roman" w:cs="Times New Roman"/>
                <w:sz w:val="20"/>
                <w:szCs w:val="20"/>
                <w:lang w:eastAsia="pl-PL"/>
              </w:rPr>
              <w:t>sekukinumabem</w:t>
            </w:r>
            <w:proofErr w:type="spellEnd"/>
            <w:r w:rsidR="00F442F5">
              <w:rPr>
                <w:rFonts w:ascii="Times New Roman" w:eastAsia="Times New Roman" w:hAnsi="Times New Roman" w:cs="Times New Roman"/>
                <w:sz w:val="20"/>
                <w:szCs w:val="20"/>
                <w:lang w:eastAsia="pl-PL"/>
              </w:rPr>
              <w:t xml:space="preserve">, </w:t>
            </w:r>
            <w:proofErr w:type="spellStart"/>
            <w:r w:rsidR="00EA4A2E">
              <w:rPr>
                <w:rFonts w:ascii="Times New Roman" w:eastAsia="Times New Roman" w:hAnsi="Times New Roman" w:cs="Times New Roman"/>
                <w:sz w:val="20"/>
                <w:szCs w:val="20"/>
                <w:lang w:eastAsia="pl-PL"/>
              </w:rPr>
              <w:t>tofacytynibem</w:t>
            </w:r>
            <w:proofErr w:type="spellEnd"/>
            <w:r w:rsidR="00EA4A2E" w:rsidRPr="00154BF9">
              <w:rPr>
                <w:rFonts w:ascii="Times New Roman" w:eastAsia="Times New Roman" w:hAnsi="Times New Roman" w:cs="Times New Roman"/>
                <w:sz w:val="20"/>
                <w:szCs w:val="20"/>
                <w:lang w:eastAsia="pl-PL"/>
              </w:rPr>
              <w:t xml:space="preserve"> 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p>
          <w:p w14:paraId="7C06783C" w14:textId="24A2FE40" w:rsidR="00A857A0" w:rsidRPr="00154BF9" w:rsidRDefault="009D7AE1" w:rsidP="00127ABF">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p>
          <w:p w14:paraId="55EBB264" w14:textId="219569BF" w:rsidR="009D7AE1" w:rsidRPr="00154BF9" w:rsidRDefault="009D7AE1" w:rsidP="00127ABF">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63A9E3EB" w14:textId="151C8AB5" w:rsidR="00A857A0" w:rsidRPr="00154BF9" w:rsidRDefault="009D7AE1" w:rsidP="00127ABF">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p>
          <w:p w14:paraId="4E2786E9" w14:textId="1F3F8A50" w:rsidR="009D7AE1" w:rsidRPr="00154BF9" w:rsidRDefault="009D7AE1" w:rsidP="00127ABF">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lub</w:t>
            </w:r>
          </w:p>
          <w:p w14:paraId="5D6F77A7" w14:textId="111ED40B" w:rsidR="009D7AE1" w:rsidRPr="00154BF9" w:rsidRDefault="009D7AE1" w:rsidP="00127ABF">
            <w:pPr>
              <w:numPr>
                <w:ilvl w:val="4"/>
                <w:numId w:val="3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p>
          <w:p w14:paraId="3B839BED" w14:textId="6D60AD99" w:rsidR="00A56095" w:rsidRPr="00154BF9" w:rsidRDefault="00A56095"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także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poddani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p>
          <w:p w14:paraId="5E5C5EB5" w14:textId="635B5031" w:rsidR="00946409" w:rsidRPr="00154BF9" w:rsidRDefault="00A56095" w:rsidP="00127ABF">
            <w:pPr>
              <w:pStyle w:val="Akapitzlist"/>
              <w:numPr>
                <w:ilvl w:val="5"/>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dwoma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inhibitorami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TNF</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alfa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FE68ED">
              <w:t xml:space="preserve"> </w:t>
            </w:r>
            <w:r w:rsidR="00FE68ED" w:rsidRPr="00FE68ED">
              <w:rPr>
                <w:rFonts w:ascii="Times New Roman" w:eastAsia="Times New Roman" w:hAnsi="Times New Roman" w:cs="Times New Roman"/>
                <w:sz w:val="20"/>
                <w:szCs w:val="20"/>
                <w:lang w:eastAsia="pl-PL"/>
              </w:rPr>
              <w:t xml:space="preserve">oraz  </w:t>
            </w:r>
            <w:proofErr w:type="spellStart"/>
            <w:r w:rsidR="00FE68ED" w:rsidRPr="00FE68ED">
              <w:rPr>
                <w:rFonts w:ascii="Times New Roman" w:eastAsia="Times New Roman" w:hAnsi="Times New Roman" w:cs="Times New Roman"/>
                <w:sz w:val="20"/>
                <w:szCs w:val="20"/>
                <w:lang w:eastAsia="pl-PL"/>
              </w:rPr>
              <w:t>kanakinumabem</w:t>
            </w:r>
            <w:proofErr w:type="spellEnd"/>
          </w:p>
          <w:p w14:paraId="4301B075" w14:textId="5D070570" w:rsidR="00A56095" w:rsidRPr="00154BF9" w:rsidRDefault="00946409" w:rsidP="00127ABF">
            <w:pPr>
              <w:pStyle w:val="Akapitzlist"/>
              <w:spacing w:after="60" w:line="276" w:lineRule="auto"/>
              <w:ind w:left="680"/>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l</w:t>
            </w:r>
            <w:r w:rsidR="00A56095" w:rsidRPr="00154BF9">
              <w:rPr>
                <w:rFonts w:ascii="Times New Roman" w:eastAsia="Times New Roman" w:hAnsi="Times New Roman" w:cs="Times New Roman"/>
                <w:sz w:val="20"/>
                <w:szCs w:val="20"/>
                <w:lang w:eastAsia="pl-PL"/>
              </w:rPr>
              <w:t>ub</w:t>
            </w:r>
            <w:r w:rsidR="0052643B" w:rsidRPr="00154BF9">
              <w:rPr>
                <w:rFonts w:ascii="Times New Roman" w:eastAsia="Times New Roman" w:hAnsi="Times New Roman" w:cs="Times New Roman"/>
                <w:sz w:val="20"/>
                <w:szCs w:val="20"/>
                <w:lang w:eastAsia="pl-PL"/>
              </w:rPr>
              <w:t xml:space="preserve"> </w:t>
            </w:r>
          </w:p>
          <w:p w14:paraId="32DB5EC8" w14:textId="0C637E85" w:rsidR="00A56095" w:rsidRPr="00154BF9" w:rsidRDefault="00A56095" w:rsidP="00127ABF">
            <w:pPr>
              <w:pStyle w:val="Akapitzlist"/>
              <w:numPr>
                <w:ilvl w:val="5"/>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tocilizumabem</w:t>
            </w:r>
            <w:r w:rsidR="00FE68ED">
              <w:rPr>
                <w:rFonts w:ascii="Times New Roman" w:eastAsia="Times New Roman" w:hAnsi="Times New Roman" w:cs="Times New Roman"/>
                <w:sz w:val="20"/>
                <w:szCs w:val="20"/>
                <w:lang w:eastAsia="pl-PL"/>
              </w:rPr>
              <w:t xml:space="preserve"> </w:t>
            </w:r>
            <w:r w:rsidR="00FE68ED">
              <w:t xml:space="preserve"> </w:t>
            </w:r>
            <w:r w:rsidR="00FE68ED" w:rsidRPr="00FE68ED">
              <w:rPr>
                <w:rFonts w:ascii="Times New Roman" w:eastAsia="Times New Roman" w:hAnsi="Times New Roman" w:cs="Times New Roman"/>
                <w:sz w:val="20"/>
                <w:szCs w:val="20"/>
                <w:lang w:eastAsia="pl-PL"/>
              </w:rPr>
              <w:t xml:space="preserve">oraz  </w:t>
            </w:r>
            <w:proofErr w:type="spellStart"/>
            <w:r w:rsidR="00FE68ED" w:rsidRPr="00FE68ED">
              <w:rPr>
                <w:rFonts w:ascii="Times New Roman" w:eastAsia="Times New Roman" w:hAnsi="Times New Roman" w:cs="Times New Roman"/>
                <w:sz w:val="20"/>
                <w:szCs w:val="20"/>
                <w:lang w:eastAsia="pl-PL"/>
              </w:rPr>
              <w:t>kanakinumabem</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pozostałych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ponieważ:</w:t>
            </w:r>
          </w:p>
          <w:p w14:paraId="24CFF62D" w14:textId="0CCB965A" w:rsidR="00A56095" w:rsidRPr="00154BF9" w:rsidRDefault="00A56095" w:rsidP="00127ABF">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reakcja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uczuleniowa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pomocniczą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p>
          <w:p w14:paraId="5923D5D1" w14:textId="710C6569" w:rsidR="00A56095" w:rsidRPr="00154BF9" w:rsidRDefault="00A56095" w:rsidP="00127ABF">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ciężkie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uniemożliwiające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mimo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dostosowywania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ChPL</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p>
          <w:p w14:paraId="4ECE98FA" w14:textId="4017D3BC" w:rsidR="00A56095" w:rsidRDefault="00A56095" w:rsidP="00127ABF">
            <w:pPr>
              <w:pStyle w:val="Akapitzlist"/>
              <w:numPr>
                <w:ilvl w:val="6"/>
                <w:numId w:val="20"/>
              </w:numPr>
              <w:spacing w:after="60" w:line="276" w:lineRule="auto"/>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utratę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zawartą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części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niniejszego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p>
          <w:p w14:paraId="318BCCC0" w14:textId="77777777" w:rsidR="00D92C20" w:rsidRPr="004E3C30" w:rsidRDefault="00D92C20" w:rsidP="00D92C20">
            <w:pPr>
              <w:pStyle w:val="Akapitzlist"/>
              <w:numPr>
                <w:ilvl w:val="3"/>
                <w:numId w:val="20"/>
              </w:numPr>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 xml:space="preserve">Do terapii </w:t>
            </w:r>
            <w:proofErr w:type="spellStart"/>
            <w:r w:rsidRPr="004E3C30">
              <w:rPr>
                <w:rFonts w:ascii="Times New Roman" w:eastAsia="Times New Roman" w:hAnsi="Times New Roman" w:cs="Times New Roman"/>
                <w:sz w:val="20"/>
                <w:szCs w:val="20"/>
                <w:lang w:eastAsia="pl-PL"/>
              </w:rPr>
              <w:t>kanakinumabem</w:t>
            </w:r>
            <w:proofErr w:type="spellEnd"/>
            <w:r w:rsidRPr="004E3C30">
              <w:rPr>
                <w:rFonts w:ascii="Times New Roman" w:eastAsia="Times New Roman" w:hAnsi="Times New Roman" w:cs="Times New Roman"/>
                <w:sz w:val="20"/>
                <w:szCs w:val="20"/>
                <w:lang w:eastAsia="pl-PL"/>
              </w:rPr>
              <w:t xml:space="preserve"> kwalifikują się także pacjenci z MIZS o początku uogólnionym, poddani wcześniejszemu leczeniu inhibitorem TNF alfa lub tocilizumabem w postaci dożylnej lub </w:t>
            </w:r>
            <w:proofErr w:type="spellStart"/>
            <w:r w:rsidRPr="004E3C30">
              <w:rPr>
                <w:rFonts w:ascii="Times New Roman" w:eastAsia="Times New Roman" w:hAnsi="Times New Roman" w:cs="Times New Roman"/>
                <w:sz w:val="20"/>
                <w:szCs w:val="20"/>
                <w:lang w:eastAsia="pl-PL"/>
              </w:rPr>
              <w:t>anakinrą</w:t>
            </w:r>
            <w:proofErr w:type="spellEnd"/>
            <w:r w:rsidRPr="004E3C30">
              <w:rPr>
                <w:rFonts w:ascii="Times New Roman" w:eastAsia="Times New Roman" w:hAnsi="Times New Roman" w:cs="Times New Roman"/>
                <w:sz w:val="20"/>
                <w:szCs w:val="20"/>
                <w:lang w:eastAsia="pl-PL"/>
              </w:rPr>
              <w:t>, u których:</w:t>
            </w:r>
          </w:p>
          <w:p w14:paraId="5B3AA7E2" w14:textId="77777777" w:rsidR="00D92C20" w:rsidRPr="004E3C30" w:rsidRDefault="00D92C20" w:rsidP="00D92C20">
            <w:pPr>
              <w:numPr>
                <w:ilvl w:val="4"/>
                <w:numId w:val="20"/>
              </w:numPr>
              <w:spacing w:after="60" w:line="276" w:lineRule="auto"/>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 xml:space="preserve">wystąpiła ciężka reakcja uczuleniowa na substancję czynną lub pomocniczą leku </w:t>
            </w:r>
          </w:p>
          <w:p w14:paraId="74477A8A" w14:textId="77777777" w:rsidR="00D92C20" w:rsidRPr="004E3C30" w:rsidRDefault="00D92C20" w:rsidP="00D92C20">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lub</w:t>
            </w:r>
          </w:p>
          <w:p w14:paraId="7535007B" w14:textId="77777777" w:rsidR="00D92C20" w:rsidRPr="004E3C30" w:rsidRDefault="00D92C20" w:rsidP="00D92C20">
            <w:pPr>
              <w:numPr>
                <w:ilvl w:val="4"/>
                <w:numId w:val="20"/>
              </w:numPr>
              <w:spacing w:after="60" w:line="276" w:lineRule="auto"/>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lastRenderedPageBreak/>
              <w:t xml:space="preserve">wystąpiły ciężkie działania niepożądane uniemożliwiające kontynuowanie terapii, które nie ustępują mimo dostosowywania dawki leku zgodnie z ChPL </w:t>
            </w:r>
          </w:p>
          <w:p w14:paraId="0D6074BC" w14:textId="77777777" w:rsidR="00D92C20" w:rsidRPr="004E3C30" w:rsidRDefault="00D92C20" w:rsidP="00D92C20">
            <w:pPr>
              <w:pStyle w:val="Akapitzlist"/>
              <w:spacing w:after="60" w:line="276" w:lineRule="auto"/>
              <w:ind w:left="454"/>
              <w:contextualSpacing w:val="0"/>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lub</w:t>
            </w:r>
          </w:p>
          <w:p w14:paraId="486B0220" w14:textId="77777777" w:rsidR="00D92C20" w:rsidRPr="004E3C30" w:rsidRDefault="00D92C20" w:rsidP="00D92C20">
            <w:pPr>
              <w:numPr>
                <w:ilvl w:val="4"/>
                <w:numId w:val="20"/>
              </w:numPr>
              <w:spacing w:after="60" w:line="276" w:lineRule="auto"/>
              <w:jc w:val="both"/>
              <w:rPr>
                <w:rFonts w:ascii="Times New Roman" w:eastAsia="Times New Roman" w:hAnsi="Times New Roman" w:cs="Times New Roman"/>
                <w:sz w:val="20"/>
                <w:szCs w:val="20"/>
                <w:lang w:eastAsia="pl-PL"/>
              </w:rPr>
            </w:pPr>
            <w:r w:rsidRPr="004E3C30">
              <w:rPr>
                <w:rFonts w:ascii="Times New Roman" w:eastAsia="Times New Roman" w:hAnsi="Times New Roman" w:cs="Times New Roman"/>
                <w:sz w:val="20"/>
                <w:szCs w:val="20"/>
                <w:lang w:eastAsia="pl-PL"/>
              </w:rPr>
              <w:t>stwierdzono brak albo utratę odpowiedzi na zastosowane leczenie (zgodnie z definicją zawartą w kryteriach wyłączenia z programu w części dotyczącej MIZS niniejszego programu lekowego).</w:t>
            </w:r>
          </w:p>
          <w:p w14:paraId="184E27CC" w14:textId="54A4677F"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również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uprzednio</w:t>
            </w:r>
            <w:r w:rsidR="0052643B" w:rsidRPr="00154BF9">
              <w:rPr>
                <w:rFonts w:ascii="Times New Roman" w:eastAsia="Times New Roman" w:hAnsi="Times New Roman" w:cs="Times New Roman"/>
                <w:sz w:val="20"/>
                <w:szCs w:val="20"/>
                <w:lang w:eastAsia="pl-PL"/>
              </w:rPr>
              <w:t xml:space="preserve"> </w:t>
            </w:r>
            <w:r w:rsidR="00696524" w:rsidRPr="00154BF9">
              <w:rPr>
                <w:rFonts w:ascii="Times New Roman" w:eastAsia="Times New Roman" w:hAnsi="Times New Roman" w:cs="Times New Roman"/>
                <w:sz w:val="20"/>
                <w:szCs w:val="20"/>
                <w:lang w:eastAsia="pl-PL"/>
              </w:rPr>
              <w:t xml:space="preserve">leczeni </w:t>
            </w:r>
            <w:proofErr w:type="spellStart"/>
            <w:r w:rsidR="00696524" w:rsidRPr="00154BF9">
              <w:rPr>
                <w:rFonts w:ascii="Times New Roman" w:eastAsia="Times New Roman" w:hAnsi="Times New Roman" w:cs="Times New Roman"/>
                <w:sz w:val="20"/>
                <w:szCs w:val="20"/>
                <w:lang w:eastAsia="pl-PL"/>
              </w:rPr>
              <w:t>sekukinumabem</w:t>
            </w:r>
            <w:proofErr w:type="spellEnd"/>
            <w:r w:rsidR="0030190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52643B" w:rsidRPr="00154BF9">
              <w:rPr>
                <w:rFonts w:ascii="Times New Roman" w:eastAsia="Times New Roman" w:hAnsi="Times New Roman" w:cs="Times New Roman"/>
                <w:sz w:val="20"/>
                <w:szCs w:val="20"/>
                <w:lang w:eastAsia="pl-PL"/>
              </w:rPr>
              <w:t xml:space="preserve"> </w:t>
            </w:r>
            <w:r w:rsidR="00301909"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proofErr w:type="spellStart"/>
            <w:r w:rsidR="00C32E4B" w:rsidRPr="00154BF9">
              <w:rPr>
                <w:rFonts w:ascii="Times New Roman" w:eastAsia="Times New Roman" w:hAnsi="Times New Roman" w:cs="Times New Roman"/>
                <w:sz w:val="20"/>
                <w:szCs w:val="20"/>
                <w:lang w:eastAsia="pl-PL"/>
              </w:rPr>
              <w:t>anakinrą</w:t>
            </w:r>
            <w:proofErr w:type="spellEnd"/>
            <w:r w:rsidR="0052643B" w:rsidRPr="00154BF9">
              <w:rPr>
                <w:rFonts w:ascii="Times New Roman" w:eastAsia="Times New Roman" w:hAnsi="Times New Roman" w:cs="Times New Roman"/>
                <w:sz w:val="20"/>
                <w:szCs w:val="20"/>
                <w:lang w:eastAsia="pl-PL"/>
              </w:rPr>
              <w:t xml:space="preserve"> </w:t>
            </w:r>
            <w:r w:rsidR="00F442F5">
              <w:rPr>
                <w:rFonts w:ascii="Times New Roman" w:eastAsia="Times New Roman" w:hAnsi="Times New Roman" w:cs="Times New Roman"/>
                <w:sz w:val="20"/>
                <w:szCs w:val="20"/>
                <w:lang w:eastAsia="pl-PL"/>
              </w:rPr>
              <w:t xml:space="preserve">albo </w:t>
            </w:r>
            <w:proofErr w:type="spellStart"/>
            <w:r w:rsidR="00F442F5">
              <w:rPr>
                <w:rFonts w:ascii="Times New Roman" w:eastAsia="Times New Roman" w:hAnsi="Times New Roman" w:cs="Times New Roman"/>
                <w:sz w:val="20"/>
                <w:szCs w:val="20"/>
                <w:lang w:eastAsia="pl-PL"/>
              </w:rPr>
              <w:t>tofacytynibem</w:t>
            </w:r>
            <w:proofErr w:type="spellEnd"/>
            <w:r w:rsidR="00F442F5">
              <w:rPr>
                <w:rFonts w:ascii="Times New Roman" w:eastAsia="Times New Roman" w:hAnsi="Times New Roman" w:cs="Times New Roman"/>
                <w:sz w:val="20"/>
                <w:szCs w:val="20"/>
                <w:lang w:eastAsia="pl-PL"/>
              </w:rPr>
              <w:t xml:space="preserve"> </w:t>
            </w:r>
            <w:r w:rsidR="00D92C20">
              <w:t xml:space="preserve"> </w:t>
            </w:r>
            <w:r w:rsidR="00D92C20" w:rsidRPr="00D92C20">
              <w:rPr>
                <w:rFonts w:ascii="Times New Roman" w:eastAsia="Times New Roman" w:hAnsi="Times New Roman" w:cs="Times New Roman"/>
                <w:sz w:val="20"/>
                <w:szCs w:val="20"/>
                <w:lang w:eastAsia="pl-PL"/>
              </w:rPr>
              <w:t xml:space="preserve">albo </w:t>
            </w:r>
            <w:proofErr w:type="spellStart"/>
            <w:r w:rsidR="00D92C20" w:rsidRPr="00D92C20">
              <w:rPr>
                <w:rFonts w:ascii="Times New Roman" w:eastAsia="Times New Roman" w:hAnsi="Times New Roman" w:cs="Times New Roman"/>
                <w:sz w:val="20"/>
                <w:szCs w:val="20"/>
                <w:lang w:eastAsia="pl-PL"/>
              </w:rPr>
              <w:t>kanakinumabem</w:t>
            </w:r>
            <w:proofErr w:type="spellEnd"/>
            <w:r w:rsidR="00D92C20" w:rsidRPr="00D92C20">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hospitalizacji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według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jednorodnych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grup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(JGP)</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warunkiem,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rozpoczęciem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spełniali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zakończenia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udziału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uzyskaniu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akceptacji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00EA4A2E" w:rsidRPr="00154BF9">
              <w:rPr>
                <w:rFonts w:ascii="Times New Roman" w:eastAsia="Times New Roman" w:hAnsi="Times New Roman" w:cs="Times New Roman"/>
                <w:sz w:val="20"/>
                <w:szCs w:val="20"/>
                <w:lang w:eastAsia="pl-PL"/>
              </w:rPr>
              <w:t>Koordynacyjnego ds.</w:t>
            </w:r>
            <w:r w:rsidR="00630679"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Biologicznego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Reumatycznych.</w:t>
            </w:r>
          </w:p>
          <w:p w14:paraId="095986B1" w14:textId="385E2ECC"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ukończył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18</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zależności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obrazu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zasadach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ŁZS,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albo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ZZSK.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odpowiada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dotyczącym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p>
          <w:p w14:paraId="4A90F603" w14:textId="71D625E1"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dopuszcza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był</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przeszłości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nieskutecznie.</w:t>
            </w:r>
          </w:p>
          <w:p w14:paraId="363AB665" w14:textId="1F666C9C"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Kwalifikacja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drugiego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lekowego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Zespołu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Koordynacyjnego,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jeśli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p>
          <w:p w14:paraId="05740A5A" w14:textId="3F477F11"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Obowiązujące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choroby/leków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immunosupresyjnych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wynoszą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10-20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mg/m²/tydzień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mg/tydzień),</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sulfasalazyny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20-50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cyklosporyny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chlorochiny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(ewentualnie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hydroksychlorochiny)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4-6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azatiopryny</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1,0-2,5</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mg/kg</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m.c</w:t>
            </w:r>
            <w:proofErr w:type="spellEnd"/>
            <w:r w:rsidRPr="00154BF9">
              <w:rPr>
                <w:rFonts w:ascii="Times New Roman" w:eastAsia="Times New Roman" w:hAnsi="Times New Roman" w:cs="Times New Roman"/>
                <w:sz w:val="20"/>
                <w:szCs w:val="20"/>
                <w:lang w:eastAsia="pl-PL"/>
              </w:rPr>
              <w:t>./dobę,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dobrze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w:t>
            </w:r>
            <w:r w:rsidR="0052643B" w:rsidRPr="00154BF9">
              <w:rPr>
                <w:rFonts w:ascii="Times New Roman" w:eastAsia="Times New Roman" w:hAnsi="Times New Roman" w:cs="Times New Roman"/>
                <w:sz w:val="20"/>
                <w:szCs w:val="20"/>
                <w:lang w:eastAsia="pl-PL"/>
              </w:rPr>
              <w:t xml:space="preserve"> </w:t>
            </w:r>
          </w:p>
          <w:p w14:paraId="4FBDC103" w14:textId="4C1CC817"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przypadkach,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których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pacjentowi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grozi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kalectwo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lub</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zagrożone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jest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jego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życie,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decyzją</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Zespołu</w:t>
            </w:r>
            <w:r w:rsidR="0052643B" w:rsidRPr="004F7B25">
              <w:rPr>
                <w:rFonts w:ascii="Times New Roman" w:eastAsia="Times New Roman" w:hAnsi="Times New Roman" w:cs="Times New Roman"/>
                <w:sz w:val="20"/>
                <w:szCs w:val="20"/>
                <w:lang w:eastAsia="pl-PL"/>
              </w:rPr>
              <w:t xml:space="preserve"> </w:t>
            </w:r>
            <w:r w:rsidR="00696524" w:rsidRPr="004F7B25">
              <w:rPr>
                <w:rFonts w:ascii="Times New Roman" w:eastAsia="Times New Roman" w:hAnsi="Times New Roman" w:cs="Times New Roman"/>
                <w:sz w:val="20"/>
                <w:szCs w:val="20"/>
                <w:lang w:eastAsia="pl-PL"/>
              </w:rPr>
              <w:t xml:space="preserve">Koordynacyjnego </w:t>
            </w:r>
            <w:r w:rsidR="00696524" w:rsidRPr="00154BF9">
              <w:rPr>
                <w:rFonts w:ascii="Times New Roman" w:eastAsia="Times New Roman" w:hAnsi="Times New Roman" w:cs="Times New Roman"/>
                <w:sz w:val="20"/>
                <w:szCs w:val="20"/>
                <w:lang w:eastAsia="pl-PL"/>
              </w:rPr>
              <w:t>ds.</w:t>
            </w:r>
            <w:r w:rsidR="00630679"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Biologicznego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Chorobach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Reumatycznych,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pacjent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może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być</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zakwalifikowany</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do</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przypadku</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niespełnienia</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części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kryteriów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opisanych</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programie,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jeśli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leczenie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jest</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zgodne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z</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aktualnie</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obowiązującymi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rekomendacjami</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oraz</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wiedzą</w:t>
            </w:r>
            <w:r w:rsidR="0052643B" w:rsidRPr="004F7B25">
              <w:rPr>
                <w:rFonts w:ascii="Times New Roman" w:eastAsia="Times New Roman" w:hAnsi="Times New Roman" w:cs="Times New Roman"/>
                <w:sz w:val="20"/>
                <w:szCs w:val="20"/>
                <w:lang w:eastAsia="pl-PL"/>
              </w:rPr>
              <w:t xml:space="preserve"> </w:t>
            </w:r>
            <w:r w:rsidRPr="004F7B25">
              <w:rPr>
                <w:rFonts w:ascii="Times New Roman" w:eastAsia="Times New Roman" w:hAnsi="Times New Roman" w:cs="Times New Roman"/>
                <w:sz w:val="20"/>
                <w:szCs w:val="20"/>
                <w:lang w:eastAsia="pl-PL"/>
              </w:rPr>
              <w:t>medyczną.</w:t>
            </w:r>
          </w:p>
          <w:p w14:paraId="64BECE5C" w14:textId="0C327F0A" w:rsidR="009F08ED"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miesiączkujących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dziewcząt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wymagana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świadomą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urodzeń,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Charakterystyką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odbywa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leczenie</w:t>
            </w:r>
            <w:r w:rsidR="009F08E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
          <w:p w14:paraId="2E3688C4" w14:textId="0737F2FF"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 przypadku ciąży lub karmienia piersią dopuszcza się możliwość leczenia uzasadnioną aktualną wiedzą medyczną - do decyzji lekarza prowadzącego.</w:t>
            </w:r>
          </w:p>
          <w:p w14:paraId="7D298251" w14:textId="3528CD08"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Adekwatna wydolność narządowa określona na podstawie wyników badań laboratoryjnych krwi zgodnie z zapisami aktualnej Charakterystyki Produktu Leczniczego (zwanej dalej ChPL).</w:t>
            </w:r>
          </w:p>
          <w:p w14:paraId="3C7969B1" w14:textId="509F4DE6"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Nieobecność istotnych schorzeń współistniejących stanowiących przeciwskazanie do terapii stwierdzonych przez lekarza prowadzącego w oparciu o aktualną ChPL.</w:t>
            </w:r>
          </w:p>
          <w:p w14:paraId="6A46BEE5" w14:textId="0CEB8C44"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przeciwwskazań do stosowania określonej w aktualnej ChPL substancji czynnej ujętej w programie lekowym, z uwzględnieniem rekomendacji EULAR/ ACR.</w:t>
            </w:r>
          </w:p>
          <w:p w14:paraId="1BE05476" w14:textId="77777777" w:rsidR="009D7AE1" w:rsidRPr="00154BF9" w:rsidRDefault="009D7AE1" w:rsidP="00127ABF">
            <w:pPr>
              <w:spacing w:after="60" w:line="276" w:lineRule="auto"/>
              <w:jc w:val="both"/>
              <w:rPr>
                <w:rFonts w:ascii="Times New Roman" w:eastAsia="Times New Roman" w:hAnsi="Times New Roman" w:cs="Times New Roman"/>
                <w:sz w:val="20"/>
                <w:szCs w:val="20"/>
                <w:lang w:eastAsia="pl-PL"/>
              </w:rPr>
            </w:pPr>
          </w:p>
          <w:p w14:paraId="18AC399E" w14:textId="5E61E0B1" w:rsidR="006675ED" w:rsidRPr="00154BF9" w:rsidRDefault="006675ED" w:rsidP="00127ABF">
            <w:pPr>
              <w:spacing w:after="60" w:line="276" w:lineRule="auto"/>
              <w:jc w:val="both"/>
              <w:rPr>
                <w:rFonts w:ascii="Times New Roman" w:hAnsi="Times New Roman" w:cs="Times New Roman"/>
                <w:sz w:val="20"/>
                <w:szCs w:val="20"/>
              </w:rPr>
            </w:pPr>
            <w:r w:rsidRPr="00154BF9">
              <w:rPr>
                <w:rFonts w:ascii="Times New Roman" w:hAnsi="Times New Roman" w:cs="Times New Roman"/>
                <w:sz w:val="20"/>
                <w:szCs w:val="20"/>
              </w:rPr>
              <w:t>Ponadto do programu lekowego kwalifikowani są pacjenci wymagający kontynuacji leczenia, którzy byli leczeni substancjami czynnymi finansowanymi w programie lekowym w ramach innego sposobu finansowania terapii (za wyjątkiem trwających badań klinicznych tych leków), pod warunkiem, że w chwili rozpoczęcia leczenia spełniali kryteria kwalifikacji do programu lekowego.</w:t>
            </w:r>
          </w:p>
          <w:p w14:paraId="58DDFE2A" w14:textId="77777777" w:rsidR="009D7AE1" w:rsidRPr="00154BF9" w:rsidRDefault="009D7AE1" w:rsidP="00127ABF">
            <w:pPr>
              <w:spacing w:after="60" w:line="276" w:lineRule="auto"/>
              <w:jc w:val="both"/>
              <w:rPr>
                <w:rFonts w:ascii="Times New Roman" w:hAnsi="Times New Roman" w:cs="Times New Roman"/>
                <w:sz w:val="20"/>
                <w:szCs w:val="20"/>
              </w:rPr>
            </w:pPr>
          </w:p>
          <w:p w14:paraId="576C6B2C" w14:textId="3D1DA363" w:rsidR="009D7AE1" w:rsidRPr="004D380C" w:rsidRDefault="009D7AE1" w:rsidP="00127ABF">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t>Czas</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leczenia</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w</w:t>
            </w:r>
            <w:r w:rsidR="0052643B" w:rsidRPr="004D380C">
              <w:rPr>
                <w:rFonts w:ascii="Times New Roman" w:eastAsia="Times New Roman" w:hAnsi="Times New Roman" w:cs="Times New Roman"/>
                <w:b/>
                <w:bCs/>
                <w:sz w:val="20"/>
                <w:szCs w:val="20"/>
                <w:lang w:eastAsia="pl-PL"/>
              </w:rPr>
              <w:t xml:space="preserve"> </w:t>
            </w:r>
            <w:r w:rsidRPr="004D380C">
              <w:rPr>
                <w:rFonts w:ascii="Times New Roman" w:eastAsia="Times New Roman" w:hAnsi="Times New Roman" w:cs="Times New Roman"/>
                <w:b/>
                <w:bCs/>
                <w:sz w:val="20"/>
                <w:szCs w:val="20"/>
                <w:lang w:eastAsia="pl-PL"/>
              </w:rPr>
              <w:t>programie</w:t>
            </w:r>
          </w:p>
          <w:p w14:paraId="67E8906E" w14:textId="75EB7D12" w:rsidR="006675ED"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Leczenie trwa do czasu podjęcia przez Zespół Koordynacyjny lub lekarza prowadzącego decyzji o wyłączeniu świadczeniobiorcy z programu, zgodnie z kryteriami wyłączenia;</w:t>
            </w:r>
          </w:p>
          <w:p w14:paraId="6D356437" w14:textId="777A2526" w:rsidR="009D7AE1" w:rsidRPr="00154BF9" w:rsidRDefault="006675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w:t>
            </w:r>
            <w:r w:rsidR="009D7AE1" w:rsidRPr="00154BF9">
              <w:rPr>
                <w:rFonts w:ascii="Times New Roman" w:eastAsia="Times New Roman" w:hAnsi="Times New Roman" w:cs="Times New Roman"/>
                <w:sz w:val="20"/>
                <w:szCs w:val="20"/>
                <w:lang w:eastAsia="pl-PL"/>
              </w:rPr>
              <w:t>acjent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będący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który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ukończył</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18</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kontynuować</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pediatrycznym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ośrodku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realizującym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lekowy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czasu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jednak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dłużej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ukończenia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20</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roku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życia,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indywidualnej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Dyrektora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Oddziału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Wojewódzkiego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p>
          <w:p w14:paraId="34528DD7" w14:textId="77777777" w:rsidR="009D7AE1" w:rsidRPr="00154BF9" w:rsidRDefault="009D7AE1" w:rsidP="00127ABF">
            <w:pPr>
              <w:tabs>
                <w:tab w:val="left" w:pos="0"/>
              </w:tabs>
              <w:spacing w:after="60" w:line="276" w:lineRule="auto"/>
              <w:jc w:val="both"/>
              <w:rPr>
                <w:rFonts w:ascii="Times New Roman" w:eastAsia="Times New Roman" w:hAnsi="Times New Roman" w:cs="Times New Roman"/>
                <w:sz w:val="20"/>
                <w:szCs w:val="20"/>
                <w:lang w:eastAsia="pl-PL"/>
              </w:rPr>
            </w:pPr>
          </w:p>
          <w:p w14:paraId="5E182E52" w14:textId="777B9305" w:rsidR="009D7AE1" w:rsidRPr="004D380C" w:rsidRDefault="00437CEE" w:rsidP="00127ABF">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noProof/>
                <w:sz w:val="20"/>
                <w:szCs w:val="20"/>
                <w:lang w:eastAsia="pl-PL"/>
              </w:rPr>
              <mc:AlternateContent>
                <mc:Choice Requires="wps">
                  <w:drawing>
                    <wp:anchor distT="0" distB="0" distL="89535" distR="0" simplePos="0" relativeHeight="251659264" behindDoc="0" locked="0" layoutInCell="1" allowOverlap="1" wp14:anchorId="6F9A1FFA" wp14:editId="06C9AFD6">
                      <wp:simplePos x="0" y="0"/>
                      <wp:positionH relativeFrom="page">
                        <wp:posOffset>6644640</wp:posOffset>
                      </wp:positionH>
                      <wp:positionV relativeFrom="paragraph">
                        <wp:posOffset>-41275</wp:posOffset>
                      </wp:positionV>
                      <wp:extent cx="5080" cy="64135"/>
                      <wp:effectExtent l="0" t="0" r="0" b="0"/>
                      <wp:wrapSquare wrapText="largest"/>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641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6A935" w14:textId="77777777" w:rsidR="00251138" w:rsidRDefault="00251138" w:rsidP="009D7AE1">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A1FFA" id="_x0000_t202" coordsize="21600,21600" o:spt="202" path="m,l,21600r21600,l21600,xe">
                      <v:stroke joinstyle="miter"/>
                      <v:path gradientshapeok="t" o:connecttype="rect"/>
                    </v:shapetype>
                    <v:shape id="Pole tekstowe 2" o:spid="_x0000_s1026" type="#_x0000_t202" style="position:absolute;left:0;text-align:left;margin-left:523.2pt;margin-top:-3.25pt;width:.4pt;height:5.05pt;z-index:251659264;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" stroked="f">
                      <v:fill opacity="0"/>
                      <v:textbox inset="0,0,0,0">
                        <w:txbxContent>
                          <w:p w14:paraId="6F76A935" w14:textId="77777777" w:rsidR="00251138" w:rsidRDefault="00251138" w:rsidP="009D7AE1">
                            <w:pPr>
                              <w:jc w:val="both"/>
                            </w:pPr>
                          </w:p>
                        </w:txbxContent>
                      </v:textbox>
                      <w10:wrap type="square" side="largest" anchorx="page"/>
                    </v:shape>
                  </w:pict>
                </mc:Fallback>
              </mc:AlternateContent>
            </w:r>
            <w:r w:rsidRPr="004D380C">
              <w:rPr>
                <w:rFonts w:ascii="Times New Roman" w:eastAsia="Times New Roman" w:hAnsi="Times New Roman" w:cs="Times New Roman"/>
                <w:b/>
                <w:bCs/>
                <w:noProof/>
                <w:sz w:val="20"/>
                <w:szCs w:val="20"/>
                <w:lang w:eastAsia="pl-PL"/>
              </w:rPr>
              <mc:AlternateContent>
                <mc:Choice Requires="wps">
                  <w:drawing>
                    <wp:anchor distT="0" distB="0" distL="89535" distR="0" simplePos="0" relativeHeight="251660288" behindDoc="0" locked="0" layoutInCell="1" allowOverlap="1" wp14:anchorId="026B5B85" wp14:editId="6BA2A853">
                      <wp:simplePos x="0" y="0"/>
                      <wp:positionH relativeFrom="page">
                        <wp:posOffset>6644640</wp:posOffset>
                      </wp:positionH>
                      <wp:positionV relativeFrom="paragraph">
                        <wp:posOffset>-41275</wp:posOffset>
                      </wp:positionV>
                      <wp:extent cx="5080" cy="64135"/>
                      <wp:effectExtent l="0" t="0" r="0" b="0"/>
                      <wp:wrapSquare wrapText="largest"/>
                      <wp:docPr id="1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 cy="641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92C4BD" w14:textId="77777777" w:rsidR="00251138" w:rsidRDefault="00251138" w:rsidP="009D7AE1">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B5B85" id="Pole tekstowe 1" o:spid="_x0000_s1027" type="#_x0000_t202" style="position:absolute;left:0;text-align:left;margin-left:523.2pt;margin-top:-3.25pt;width:.4pt;height:5.05pt;z-index:251660288;visibility:visible;mso-wrap-style:square;mso-width-percent:0;mso-height-percent:0;mso-wrap-distance-left:7.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" stroked="f">
                      <v:fill opacity="0"/>
                      <v:textbox inset="0,0,0,0">
                        <w:txbxContent>
                          <w:p w14:paraId="3F92C4BD" w14:textId="77777777" w:rsidR="00251138" w:rsidRDefault="00251138" w:rsidP="009D7AE1">
                            <w:pPr>
                              <w:jc w:val="both"/>
                            </w:pPr>
                          </w:p>
                        </w:txbxContent>
                      </v:textbox>
                      <w10:wrap type="square" side="largest" anchorx="page"/>
                    </v:shape>
                  </w:pict>
                </mc:Fallback>
              </mc:AlternateContent>
            </w:r>
            <w:r w:rsidR="009D7AE1" w:rsidRPr="004D380C">
              <w:rPr>
                <w:rFonts w:ascii="Times New Roman" w:eastAsia="Times New Roman" w:hAnsi="Times New Roman" w:cs="Times New Roman"/>
                <w:b/>
                <w:bCs/>
                <w:sz w:val="20"/>
                <w:szCs w:val="20"/>
                <w:lang w:eastAsia="pl-PL"/>
              </w:rPr>
              <w:t>Kryteria</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wyłączenia</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z</w:t>
            </w:r>
            <w:r w:rsidR="0052643B" w:rsidRPr="004D380C">
              <w:rPr>
                <w:rFonts w:ascii="Times New Roman" w:eastAsia="Times New Roman" w:hAnsi="Times New Roman" w:cs="Times New Roman"/>
                <w:b/>
                <w:bCs/>
                <w:sz w:val="20"/>
                <w:szCs w:val="20"/>
                <w:lang w:eastAsia="pl-PL"/>
              </w:rPr>
              <w:t xml:space="preserve"> </w:t>
            </w:r>
            <w:r w:rsidR="009D7AE1" w:rsidRPr="004D380C">
              <w:rPr>
                <w:rFonts w:ascii="Times New Roman" w:eastAsia="Times New Roman" w:hAnsi="Times New Roman" w:cs="Times New Roman"/>
                <w:b/>
                <w:bCs/>
                <w:sz w:val="20"/>
                <w:szCs w:val="20"/>
                <w:lang w:eastAsia="pl-PL"/>
              </w:rPr>
              <w:t>programu</w:t>
            </w:r>
          </w:p>
          <w:p w14:paraId="60B5E8FD" w14:textId="1A0E037B"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w:t>
            </w:r>
            <w:r w:rsidR="009D7AE1" w:rsidRPr="00154BF9">
              <w:rPr>
                <w:rFonts w:ascii="Times New Roman" w:eastAsia="Times New Roman" w:hAnsi="Times New Roman" w:cs="Times New Roman"/>
                <w:sz w:val="20"/>
                <w:szCs w:val="20"/>
                <w:lang w:eastAsia="pl-PL"/>
              </w:rPr>
              <w:t>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odpowiedź</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definiujemy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jako:</w:t>
            </w:r>
          </w:p>
          <w:p w14:paraId="3DB80CA6" w14:textId="01119ADA" w:rsidR="009D7AE1" w:rsidRPr="00154BF9" w:rsidRDefault="009D7AE1" w:rsidP="00127ABF">
            <w:pPr>
              <w:numPr>
                <w:ilvl w:val="4"/>
                <w:numId w:val="3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poprawę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najmniej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wartości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wyjściowych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według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oceny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Gianniniego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strony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stawów,</w:t>
            </w:r>
          </w:p>
          <w:p w14:paraId="58CA14DE" w14:textId="101F3250" w:rsidR="009D7AE1" w:rsidRPr="00154BF9" w:rsidRDefault="009D7AE1" w:rsidP="00127ABF">
            <w:pPr>
              <w:numPr>
                <w:ilvl w:val="4"/>
                <w:numId w:val="31"/>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rozpoznaniem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dominującymi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układowymi</w:t>
            </w:r>
            <w:r w:rsidR="00CB2BED" w:rsidRPr="00154BF9">
              <w:rPr>
                <w:rFonts w:ascii="Times New Roman" w:eastAsia="Times New Roman" w:hAnsi="Times New Roman" w:cs="Times New Roman"/>
                <w:sz w:val="20"/>
                <w:szCs w:val="20"/>
                <w:lang w:eastAsia="pl-PL"/>
              </w:rPr>
              <w:t>.</w:t>
            </w:r>
          </w:p>
          <w:p w14:paraId="5B8F7D4F" w14:textId="190C94B1"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adekwatnej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odpowiedzi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stwierdzona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p>
          <w:p w14:paraId="2AC738C9" w14:textId="3D4499B6"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N</w:t>
            </w:r>
            <w:r w:rsidR="009D7AE1" w:rsidRPr="004D380C">
              <w:rPr>
                <w:rFonts w:ascii="Times New Roman" w:eastAsia="Times New Roman" w:hAnsi="Times New Roman" w:cs="Times New Roman"/>
                <w:sz w:val="20"/>
                <w:szCs w:val="20"/>
                <w:lang w:eastAsia="pl-PL"/>
              </w:rPr>
              <w:t>iespełnienie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Pediatric</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pierwszych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12</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miesiącach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t>
            </w:r>
            <w:r w:rsidR="00251138" w:rsidRPr="004D380C">
              <w:rPr>
                <w:rFonts w:ascii="Times New Roman" w:eastAsia="Times New Roman" w:hAnsi="Times New Roman" w:cs="Times New Roman"/>
                <w:sz w:val="20"/>
                <w:szCs w:val="20"/>
                <w:lang w:eastAsia="pl-PL"/>
              </w:rPr>
              <w:t>1</w:t>
            </w:r>
            <w:r w:rsidR="0052643B" w:rsidRPr="004D380C">
              <w:rPr>
                <w:rFonts w:ascii="Times New Roman" w:eastAsia="Times New Roman" w:hAnsi="Times New Roman" w:cs="Times New Roman"/>
                <w:sz w:val="20"/>
                <w:szCs w:val="20"/>
                <w:lang w:eastAsia="pl-PL"/>
              </w:rPr>
              <w:t xml:space="preserve"> </w:t>
            </w:r>
            <w:r w:rsidR="00251138" w:rsidRPr="004D380C">
              <w:rPr>
                <w:rFonts w:ascii="Times New Roman" w:eastAsia="Times New Roman" w:hAnsi="Times New Roman" w:cs="Times New Roman"/>
                <w:sz w:val="20"/>
                <w:szCs w:val="20"/>
                <w:lang w:eastAsia="pl-PL"/>
              </w:rPr>
              <w:t>miesiąc</w:t>
            </w:r>
            <w:r w:rsidR="009D7AE1"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więc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nieuzyskanie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przynajmniej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50-procentowej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3</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6</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następujących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parametrów,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jednoczesnym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braku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pogorszenia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więcej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niż</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jednym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poniższych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parametrów:</w:t>
            </w:r>
          </w:p>
          <w:p w14:paraId="37DA3EE0" w14:textId="50A2A28E"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liczba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stawów</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czynnym</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zapaleniem;</w:t>
            </w:r>
          </w:p>
          <w:p w14:paraId="4AAAF8A2" w14:textId="3B7156FA"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liczba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stawów</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ograniczeniem</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ruchomości;</w:t>
            </w:r>
          </w:p>
          <w:p w14:paraId="1C112FDA" w14:textId="5B333D62"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ocena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aktywności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choroby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dokonana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lekarza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10-centymetrowej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skali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VAS;</w:t>
            </w:r>
          </w:p>
          <w:p w14:paraId="5A657F3B" w14:textId="6A5A97ED"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lastRenderedPageBreak/>
              <w:t>ocena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ogólnego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samopoczucia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dokonana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rodzica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chore</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dziecko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10-centymetrowej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skali</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VAS;</w:t>
            </w:r>
          </w:p>
          <w:p w14:paraId="02CEEDC1" w14:textId="4D298E4D"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wskaźnik</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stanu</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funkcjonalnego</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dziecka</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(np.</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CHAQ);</w:t>
            </w:r>
          </w:p>
          <w:p w14:paraId="5783A721" w14:textId="342EDFE7" w:rsidR="009D7AE1" w:rsidRPr="00154BF9" w:rsidRDefault="009D7AE1" w:rsidP="00127ABF">
            <w:pPr>
              <w:numPr>
                <w:ilvl w:val="4"/>
                <w:numId w:val="32"/>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laboratoryjny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wskaźnik</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ostrej</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fazy</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(OB.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Pr="004D380C">
              <w:rPr>
                <w:rFonts w:ascii="Times New Roman" w:eastAsia="Times New Roman" w:hAnsi="Times New Roman" w:cs="Times New Roman"/>
                <w:sz w:val="20"/>
                <w:szCs w:val="20"/>
                <w:lang w:eastAsia="pl-PL"/>
              </w:rPr>
              <w:t>CRP).</w:t>
            </w:r>
          </w:p>
          <w:p w14:paraId="70AF88A9" w14:textId="3DA6D1DC"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trata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Pediatric</w:t>
            </w:r>
            <w:proofErr w:type="spellEnd"/>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układowych,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dwóch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wizyt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monitorujących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p>
          <w:p w14:paraId="2F6847AE" w14:textId="26B992BF" w:rsidR="009D7AE1"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zakwalifikowanych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podstawie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c)</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dominującym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zapaleniem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niespełniających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jednocześnie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kwalifikacji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określonych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proofErr w:type="spellStart"/>
            <w:r w:rsidR="009D7AE1"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8D5639" w:rsidRPr="00154BF9">
              <w:rPr>
                <w:rFonts w:ascii="Times New Roman" w:eastAsia="Times New Roman" w:hAnsi="Times New Roman" w:cs="Times New Roman"/>
                <w:sz w:val="20"/>
                <w:szCs w:val="20"/>
                <w:lang w:eastAsia="pl-PL"/>
              </w:rPr>
              <w:t>1</w:t>
            </w:r>
            <w:r w:rsidR="009D7AE1" w:rsidRPr="00154BF9">
              <w:rPr>
                <w:rFonts w:ascii="Times New Roman" w:eastAsia="Times New Roman" w:hAnsi="Times New Roman" w:cs="Times New Roman"/>
                <w:sz w:val="20"/>
                <w:szCs w:val="20"/>
                <w:lang w:eastAsia="pl-PL"/>
              </w:rPr>
              <w:t>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43508">
              <w:rPr>
                <w:rFonts w:ascii="Times New Roman" w:eastAsia="Times New Roman" w:hAnsi="Times New Roman" w:cs="Times New Roman"/>
                <w:sz w:val="20"/>
                <w:szCs w:val="20"/>
                <w:lang w:eastAsia="pl-PL"/>
              </w:rPr>
              <w:t>4</w:t>
            </w:r>
            <w:r w:rsidR="009D7AE1"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43508">
              <w:rPr>
                <w:rFonts w:ascii="Times New Roman" w:eastAsia="Times New Roman" w:hAnsi="Times New Roman" w:cs="Times New Roman"/>
                <w:sz w:val="20"/>
                <w:szCs w:val="20"/>
                <w:lang w:eastAsia="pl-PL"/>
              </w:rPr>
              <w:t>4</w:t>
            </w:r>
            <w:r w:rsidR="009D7AE1" w:rsidRPr="00154BF9">
              <w:rPr>
                <w:rFonts w:ascii="Times New Roman" w:eastAsia="Times New Roman" w:hAnsi="Times New Roman" w:cs="Times New Roman"/>
                <w:sz w:val="20"/>
                <w:szCs w:val="20"/>
                <w:lang w:eastAsia="pl-PL"/>
              </w:rPr>
              <w:t>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uzyskania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istotnej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zakresie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zapalenia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błony</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naczyniowej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potwierdzonej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badaniem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okulistycznym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utrzymywani</w:t>
            </w:r>
            <w:r w:rsidR="00251138"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istotnej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12</w:t>
            </w:r>
            <w:r w:rsidR="0052643B" w:rsidRPr="00154BF9">
              <w:rPr>
                <w:rFonts w:ascii="Times New Roman" w:eastAsia="Times New Roman" w:hAnsi="Times New Roman" w:cs="Times New Roman"/>
                <w:sz w:val="20"/>
                <w:szCs w:val="20"/>
                <w:lang w:eastAsia="pl-PL"/>
              </w:rPr>
              <w:t xml:space="preserve"> </w:t>
            </w:r>
            <w:r w:rsidR="003E5655"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w:t>
            </w:r>
            <w:r w:rsidR="000E423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64E52D2E" w14:textId="239D0E5D"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chorób lub stanów, które w opinii Zespołu Koordynacyjnego lub lekarza prowadzącego uniemożliwiają dalsze prowadzenie leczenia.</w:t>
            </w:r>
          </w:p>
          <w:p w14:paraId="470320EA" w14:textId="326DD664"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objawów nadwrażliwości na którąkolwiek substancję czynną lub substancję pomocniczą.</w:t>
            </w:r>
          </w:p>
          <w:p w14:paraId="5E129DBA" w14:textId="0CC6464A"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Wystąpienie toksyczności wymagającej zakończenia leczenia w opinii Zespołu Koordynacyjnego lub lekarza prowadzącego zgodnie z aktualną ChPL.</w:t>
            </w:r>
          </w:p>
          <w:p w14:paraId="0B39D7EB" w14:textId="18AF66D2"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Pogorszenie jakości życia o istotnym znaczeniu według oceny lekarza.</w:t>
            </w:r>
          </w:p>
          <w:p w14:paraId="451D02B3" w14:textId="028E8687" w:rsidR="009A019D" w:rsidRPr="00154BF9" w:rsidRDefault="009A019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Brak współpracy lub nieprzestrzeganie zaleceń lekarskich, w tym zwłaszcza dotyczących okresowych badań kontrolnych oceniających skuteczność i bezpieczeństwo leczenia ze strony świadczeniobiorcy lub jego opiekuna prawnego.</w:t>
            </w:r>
          </w:p>
          <w:p w14:paraId="6EFDF186" w14:textId="234E3AD8" w:rsidR="00350537" w:rsidRPr="00154BF9" w:rsidRDefault="00CB2BE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4D380C">
              <w:rPr>
                <w:rFonts w:ascii="Times New Roman" w:eastAsia="Times New Roman" w:hAnsi="Times New Roman" w:cs="Times New Roman"/>
                <w:sz w:val="20"/>
                <w:szCs w:val="20"/>
                <w:lang w:eastAsia="pl-PL"/>
              </w:rPr>
              <w:t>L</w:t>
            </w:r>
            <w:r w:rsidR="009D7AE1" w:rsidRPr="004D380C">
              <w:rPr>
                <w:rFonts w:ascii="Times New Roman" w:eastAsia="Times New Roman" w:hAnsi="Times New Roman" w:cs="Times New Roman"/>
                <w:sz w:val="20"/>
                <w:szCs w:val="20"/>
                <w:lang w:eastAsia="pl-PL"/>
              </w:rPr>
              <w:t>ekarz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prowadzący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może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zwrócić</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się</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Zespołu</w:t>
            </w:r>
            <w:r w:rsidR="0052643B" w:rsidRPr="004D380C">
              <w:rPr>
                <w:rFonts w:ascii="Times New Roman" w:eastAsia="Times New Roman" w:hAnsi="Times New Roman" w:cs="Times New Roman"/>
                <w:sz w:val="20"/>
                <w:szCs w:val="20"/>
                <w:lang w:eastAsia="pl-PL"/>
              </w:rPr>
              <w:t xml:space="preserve"> </w:t>
            </w:r>
            <w:r w:rsidR="00696524" w:rsidRPr="004D380C">
              <w:rPr>
                <w:rFonts w:ascii="Times New Roman" w:eastAsia="Times New Roman" w:hAnsi="Times New Roman" w:cs="Times New Roman"/>
                <w:sz w:val="20"/>
                <w:szCs w:val="20"/>
                <w:lang w:eastAsia="pl-PL"/>
              </w:rPr>
              <w:t xml:space="preserve">Koordynacyjnego </w:t>
            </w:r>
            <w:r w:rsidR="00696524" w:rsidRPr="00154BF9">
              <w:rPr>
                <w:rFonts w:ascii="Times New Roman" w:eastAsia="Times New Roman" w:hAnsi="Times New Roman" w:cs="Times New Roman"/>
                <w:sz w:val="20"/>
                <w:szCs w:val="20"/>
                <w:lang w:eastAsia="pl-PL"/>
              </w:rPr>
              <w:t>ds.</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Biologicznego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Chorobach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Reumatycznych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wyrażenie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kontynuację</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substancją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uzasadnionych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sytuacjach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klinicznych</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przypadku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niespełnienia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przez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poprawy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Pediatric</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pkt</w:t>
            </w:r>
            <w:r w:rsidR="0052643B" w:rsidRPr="004D380C">
              <w:rPr>
                <w:rFonts w:ascii="Times New Roman" w:eastAsia="Times New Roman" w:hAnsi="Times New Roman" w:cs="Times New Roman"/>
                <w:sz w:val="20"/>
                <w:szCs w:val="20"/>
                <w:lang w:eastAsia="pl-PL"/>
              </w:rPr>
              <w:t xml:space="preserve"> </w:t>
            </w:r>
            <w:r w:rsidR="004A6206" w:rsidRPr="004D380C">
              <w:rPr>
                <w:rFonts w:ascii="Times New Roman" w:eastAsia="Times New Roman" w:hAnsi="Times New Roman" w:cs="Times New Roman"/>
                <w:sz w:val="20"/>
                <w:szCs w:val="20"/>
                <w:lang w:eastAsia="pl-PL"/>
              </w:rPr>
              <w:t>3</w:t>
            </w:r>
            <w:r w:rsidR="009A019D"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ppkt</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3</w:t>
            </w:r>
            <w:r w:rsidR="009A019D" w:rsidRPr="004D380C">
              <w:rPr>
                <w:rFonts w:ascii="Times New Roman" w:eastAsia="Times New Roman" w:hAnsi="Times New Roman" w:cs="Times New Roman"/>
                <w:sz w:val="20"/>
                <w:szCs w:val="20"/>
                <w:lang w:eastAsia="pl-PL"/>
              </w:rPr>
              <w:t>)</w:t>
            </w:r>
            <w:r w:rsidR="009D7AE1" w:rsidRPr="004D380C">
              <w:rPr>
                <w:rFonts w:ascii="Times New Roman" w:eastAsia="Times New Roman" w:hAnsi="Times New Roman" w:cs="Times New Roman"/>
                <w:sz w:val="20"/>
                <w:szCs w:val="20"/>
                <w:lang w:eastAsia="pl-PL"/>
              </w:rPr>
              <w: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szczególnie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pacjentów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lastRenderedPageBreak/>
              <w:t>wyjściową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bardzo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dużą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aktywnością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choroby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lub</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występowaniem</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czynników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złej</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prognozy.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Bez</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zgody</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Zespołu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Koordynacyjnego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dalsze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leczenie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daną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substancją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czynną</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przypadku</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niespełnienia</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kryteriów</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ACR</w:t>
            </w:r>
            <w:r w:rsidR="0052643B" w:rsidRPr="004D380C">
              <w:rPr>
                <w:rFonts w:ascii="Times New Roman" w:eastAsia="Times New Roman" w:hAnsi="Times New Roman" w:cs="Times New Roman"/>
                <w:sz w:val="20"/>
                <w:szCs w:val="20"/>
                <w:lang w:eastAsia="pl-PL"/>
              </w:rPr>
              <w:t xml:space="preserve"> </w:t>
            </w:r>
            <w:proofErr w:type="spellStart"/>
            <w:r w:rsidR="009D7AE1" w:rsidRPr="004D380C">
              <w:rPr>
                <w:rFonts w:ascii="Times New Roman" w:eastAsia="Times New Roman" w:hAnsi="Times New Roman" w:cs="Times New Roman"/>
                <w:sz w:val="20"/>
                <w:szCs w:val="20"/>
                <w:lang w:eastAsia="pl-PL"/>
              </w:rPr>
              <w:t>Pediatric</w:t>
            </w:r>
            <w:proofErr w:type="spellEnd"/>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50</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po</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12</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miesiącach</w:t>
            </w:r>
            <w:r w:rsidR="0052643B" w:rsidRPr="004D380C">
              <w:rPr>
                <w:rFonts w:ascii="Times New Roman" w:eastAsia="Times New Roman" w:hAnsi="Times New Roman" w:cs="Times New Roman"/>
                <w:sz w:val="20"/>
                <w:szCs w:val="20"/>
                <w:lang w:eastAsia="pl-PL"/>
              </w:rPr>
              <w:t xml:space="preserve"> </w:t>
            </w:r>
            <w:r w:rsidR="000E4233" w:rsidRPr="004D380C">
              <w:rPr>
                <w:rFonts w:ascii="Times New Roman" w:eastAsia="Times New Roman" w:hAnsi="Times New Roman" w:cs="Times New Roman"/>
                <w:sz w:val="20"/>
                <w:szCs w:val="20"/>
                <w:lang w:eastAsia="pl-PL"/>
              </w:rPr>
              <w:t>(</w:t>
            </w:r>
            <w:r w:rsidR="000E4233"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0E4233" w:rsidRPr="00154BF9">
              <w:rPr>
                <w:rFonts w:ascii="Times New Roman" w:eastAsia="Times New Roman" w:hAnsi="Times New Roman" w:cs="Times New Roman"/>
                <w:sz w:val="20"/>
                <w:szCs w:val="20"/>
                <w:lang w:eastAsia="pl-PL"/>
              </w:rPr>
              <w:t>miesiąc)</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terapii</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nie</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jest</w:t>
            </w:r>
            <w:r w:rsidR="0052643B" w:rsidRPr="004D380C">
              <w:rPr>
                <w:rFonts w:ascii="Times New Roman" w:eastAsia="Times New Roman" w:hAnsi="Times New Roman" w:cs="Times New Roman"/>
                <w:sz w:val="20"/>
                <w:szCs w:val="20"/>
                <w:lang w:eastAsia="pl-PL"/>
              </w:rPr>
              <w:t xml:space="preserve"> </w:t>
            </w:r>
            <w:r w:rsidR="009D7AE1" w:rsidRPr="004D380C">
              <w:rPr>
                <w:rFonts w:ascii="Times New Roman" w:eastAsia="Times New Roman" w:hAnsi="Times New Roman" w:cs="Times New Roman"/>
                <w:sz w:val="20"/>
                <w:szCs w:val="20"/>
                <w:lang w:eastAsia="pl-PL"/>
              </w:rPr>
              <w:t>możliwe.</w:t>
            </w:r>
          </w:p>
          <w:p w14:paraId="5F5B488C" w14:textId="77777777" w:rsidR="00034E48" w:rsidRPr="00154BF9" w:rsidRDefault="00034E48" w:rsidP="00127ABF">
            <w:pPr>
              <w:suppressAutoHyphens/>
              <w:spacing w:after="60" w:line="276" w:lineRule="auto"/>
              <w:ind w:left="454"/>
              <w:jc w:val="both"/>
              <w:rPr>
                <w:rFonts w:ascii="Times New Roman" w:eastAsia="Times New Roman" w:hAnsi="Times New Roman" w:cs="Times New Roman"/>
                <w:sz w:val="20"/>
                <w:szCs w:val="20"/>
                <w:lang w:eastAsia="ar-SA"/>
              </w:rPr>
            </w:pPr>
          </w:p>
          <w:p w14:paraId="46DBCED2" w14:textId="327CCE5B" w:rsidR="009D7AE1" w:rsidRPr="00154BF9" w:rsidRDefault="009D7AE1" w:rsidP="00127ABF">
            <w:pPr>
              <w:pStyle w:val="Akapitzlist"/>
              <w:numPr>
                <w:ilvl w:val="0"/>
                <w:numId w:val="20"/>
              </w:numPr>
              <w:autoSpaceDE w:val="0"/>
              <w:autoSpaceDN w:val="0"/>
              <w:adjustRightInd w:val="0"/>
              <w:spacing w:after="60" w:line="276" w:lineRule="auto"/>
              <w:contextualSpacing w:val="0"/>
              <w:jc w:val="both"/>
              <w:rPr>
                <w:rFonts w:ascii="Times New Roman" w:eastAsia="Times New Roman" w:hAnsi="Times New Roman" w:cs="Times New Roman"/>
                <w:b/>
                <w:bCs/>
                <w:sz w:val="20"/>
                <w:szCs w:val="20"/>
                <w:lang w:eastAsia="pl-PL"/>
              </w:rPr>
            </w:pPr>
            <w:r w:rsidRPr="00154BF9">
              <w:rPr>
                <w:rFonts w:ascii="Times New Roman" w:eastAsia="Times New Roman" w:hAnsi="Times New Roman" w:cs="Times New Roman"/>
                <w:b/>
                <w:bCs/>
                <w:sz w:val="20"/>
                <w:szCs w:val="20"/>
                <w:lang w:eastAsia="pl-PL"/>
              </w:rPr>
              <w:t>Kryteria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ponownego</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włączenia</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do</w:t>
            </w:r>
            <w:r w:rsidR="0052643B" w:rsidRPr="00154BF9">
              <w:rPr>
                <w:rFonts w:ascii="Times New Roman" w:eastAsia="Times New Roman" w:hAnsi="Times New Roman" w:cs="Times New Roman"/>
                <w:b/>
                <w:bCs/>
                <w:sz w:val="20"/>
                <w:szCs w:val="20"/>
                <w:lang w:eastAsia="pl-PL"/>
              </w:rPr>
              <w:t xml:space="preserve"> </w:t>
            </w:r>
            <w:r w:rsidRPr="00154BF9">
              <w:rPr>
                <w:rFonts w:ascii="Times New Roman" w:eastAsia="Times New Roman" w:hAnsi="Times New Roman" w:cs="Times New Roman"/>
                <w:b/>
                <w:bCs/>
                <w:sz w:val="20"/>
                <w:szCs w:val="20"/>
                <w:lang w:eastAsia="pl-PL"/>
              </w:rPr>
              <w:t>programu</w:t>
            </w:r>
          </w:p>
          <w:p w14:paraId="799A232E" w14:textId="5814CE61"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pkt</w:t>
            </w:r>
            <w:r w:rsidR="0052643B" w:rsidRPr="00154BF9">
              <w:rPr>
                <w:rFonts w:ascii="Times New Roman" w:eastAsia="Times New Roman" w:hAnsi="Times New Roman" w:cs="Times New Roman"/>
                <w:sz w:val="20"/>
                <w:szCs w:val="20"/>
                <w:lang w:eastAsia="pl-PL"/>
              </w:rPr>
              <w:t xml:space="preserve"> </w:t>
            </w:r>
            <w:r w:rsidR="000A1224"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ppkt</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w:t>
            </w:r>
            <w:r w:rsidR="000A1224" w:rsidRPr="00154BF9">
              <w:rPr>
                <w:rFonts w:ascii="Times New Roman" w:eastAsia="Times New Roman" w:hAnsi="Times New Roman" w:cs="Times New Roman"/>
                <w:sz w:val="20"/>
                <w:szCs w:val="20"/>
                <w:lang w:eastAsia="pl-PL"/>
              </w:rPr>
              <w:t>)</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zapisami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trakcie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kontrolnego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stwierdzono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aktywnej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definiowanej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jako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brak</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utrzymywania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Pediatric</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ramach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kwalifikacji.</w:t>
            </w:r>
          </w:p>
          <w:p w14:paraId="76301FD9" w14:textId="41EBBA2A" w:rsidR="006C2ABD" w:rsidRPr="00154BF9" w:rsidRDefault="006C2ABD"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MIZS</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początku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uogólnionym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nawrotu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układowych.</w:t>
            </w:r>
          </w:p>
          <w:p w14:paraId="29449433" w14:textId="0C8D3D48"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włączany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spowodowało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spełnienie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kryteriów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poprawy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ACR</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Pediatric</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50</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ustąpienie</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objawów</w:t>
            </w:r>
            <w:r w:rsidR="0052643B" w:rsidRPr="00154BF9">
              <w:rPr>
                <w:rFonts w:ascii="Times New Roman" w:eastAsia="Times New Roman" w:hAnsi="Times New Roman" w:cs="Times New Roman"/>
                <w:sz w:val="20"/>
                <w:szCs w:val="20"/>
                <w:lang w:eastAsia="pl-PL"/>
              </w:rPr>
              <w:t xml:space="preserve"> </w:t>
            </w:r>
            <w:r w:rsidR="006C2ABD" w:rsidRPr="00154BF9">
              <w:rPr>
                <w:rFonts w:ascii="Times New Roman" w:eastAsia="Times New Roman" w:hAnsi="Times New Roman" w:cs="Times New Roman"/>
                <w:sz w:val="20"/>
                <w:szCs w:val="20"/>
                <w:lang w:eastAsia="pl-PL"/>
              </w:rPr>
              <w:t>układowych.</w:t>
            </w:r>
          </w:p>
          <w:p w14:paraId="46F61F00" w14:textId="58C8A51D" w:rsidR="009D7AE1" w:rsidRPr="00154BF9" w:rsidRDefault="009D7AE1" w:rsidP="00127ABF">
            <w:pPr>
              <w:numPr>
                <w:ilvl w:val="3"/>
                <w:numId w:val="20"/>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ponownie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włączony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zaprzestano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treścią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powodu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działań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niepożądanych,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które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ustąpiły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odstawieniu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bądź</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zastosowanym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leczeniu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opinii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prowadzącego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powrót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samą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stanowi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ryzyka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dla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p>
          <w:p w14:paraId="6B101EDC" w14:textId="77777777" w:rsidR="00CB2AC0" w:rsidRPr="00154BF9" w:rsidRDefault="00CB2AC0" w:rsidP="0052643B">
            <w:pPr>
              <w:suppressAutoHyphens/>
              <w:spacing w:after="60" w:line="276" w:lineRule="auto"/>
              <w:ind w:left="357"/>
              <w:jc w:val="both"/>
              <w:rPr>
                <w:rFonts w:ascii="Times New Roman" w:eastAsia="Times New Roman" w:hAnsi="Times New Roman" w:cs="Times New Roman"/>
                <w:sz w:val="20"/>
                <w:szCs w:val="20"/>
                <w:lang w:eastAsia="ar-SA"/>
              </w:rPr>
            </w:pPr>
          </w:p>
        </w:tc>
        <w:tc>
          <w:tcPr>
            <w:tcW w:w="4294" w:type="dxa"/>
            <w:tcBorders>
              <w:top w:val="single" w:sz="4" w:space="0" w:color="auto"/>
              <w:bottom w:val="single" w:sz="4" w:space="0" w:color="auto"/>
            </w:tcBorders>
          </w:tcPr>
          <w:p w14:paraId="647CD249" w14:textId="53254F13" w:rsidR="009D7AE1" w:rsidRPr="004D380C" w:rsidRDefault="009D7AE1" w:rsidP="004D380C">
            <w:pPr>
              <w:pStyle w:val="Akapitzlist"/>
              <w:numPr>
                <w:ilvl w:val="0"/>
                <w:numId w:val="23"/>
              </w:numPr>
              <w:autoSpaceDE w:val="0"/>
              <w:autoSpaceDN w:val="0"/>
              <w:adjustRightInd w:val="0"/>
              <w:spacing w:before="120" w:after="60" w:line="276" w:lineRule="auto"/>
              <w:contextualSpacing w:val="0"/>
              <w:jc w:val="both"/>
              <w:rPr>
                <w:rFonts w:ascii="Times New Roman" w:eastAsia="Times New Roman" w:hAnsi="Times New Roman" w:cs="Times New Roman"/>
                <w:b/>
                <w:bCs/>
                <w:sz w:val="20"/>
                <w:szCs w:val="20"/>
                <w:lang w:eastAsia="pl-PL"/>
              </w:rPr>
            </w:pPr>
            <w:r w:rsidRPr="004D380C">
              <w:rPr>
                <w:rFonts w:ascii="Times New Roman" w:eastAsia="Times New Roman" w:hAnsi="Times New Roman" w:cs="Times New Roman"/>
                <w:b/>
                <w:bCs/>
                <w:sz w:val="20"/>
                <w:szCs w:val="20"/>
                <w:lang w:eastAsia="pl-PL"/>
              </w:rPr>
              <w:lastRenderedPageBreak/>
              <w:t>Dawkowanie</w:t>
            </w:r>
          </w:p>
          <w:p w14:paraId="239C17CF" w14:textId="5DD2DB94" w:rsidR="009D7AE1" w:rsidRPr="00154BF9" w:rsidRDefault="009D7AE1" w:rsidP="00127ABF">
            <w:pPr>
              <w:widowControl w:val="0"/>
              <w:numPr>
                <w:ilvl w:val="3"/>
                <w:numId w:val="23"/>
              </w:numPr>
              <w:autoSpaceDE w:val="0"/>
              <w:autoSpaceDN w:val="0"/>
              <w:adjustRightInd w:val="0"/>
              <w:spacing w:after="60" w:line="276" w:lineRule="auto"/>
              <w:jc w:val="both"/>
              <w:rPr>
                <w:rFonts w:ascii="Times New Roman" w:eastAsia="Times New Roman" w:hAnsi="Times New Roman" w:cs="Times New Roman"/>
                <w:sz w:val="20"/>
                <w:szCs w:val="20"/>
                <w:lang w:eastAsia="pl-PL"/>
              </w:rPr>
            </w:pPr>
            <w:proofErr w:type="spellStart"/>
            <w:r w:rsidRPr="00154BF9">
              <w:rPr>
                <w:rFonts w:ascii="Times New Roman" w:eastAsia="Times New Roman" w:hAnsi="Times New Roman" w:cs="Times New Roman"/>
                <w:sz w:val="20"/>
                <w:szCs w:val="20"/>
                <w:lang w:eastAsia="pl-PL"/>
              </w:rPr>
              <w:t>Adalimumab</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etanercept</w:t>
            </w:r>
            <w:proofErr w:type="spellEnd"/>
            <w:r w:rsidR="00696524" w:rsidRPr="00154BF9">
              <w:rPr>
                <w:rFonts w:ascii="Times New Roman" w:eastAsia="Times New Roman" w:hAnsi="Times New Roman" w:cs="Times New Roman"/>
                <w:sz w:val="20"/>
                <w:szCs w:val="20"/>
                <w:lang w:eastAsia="pl-PL"/>
              </w:rPr>
              <w:t xml:space="preserve">, </w:t>
            </w:r>
            <w:proofErr w:type="spellStart"/>
            <w:r w:rsidR="00696524" w:rsidRPr="00154BF9">
              <w:rPr>
                <w:rFonts w:ascii="Times New Roman" w:eastAsia="Times New Roman" w:hAnsi="Times New Roman" w:cs="Times New Roman"/>
                <w:sz w:val="20"/>
                <w:szCs w:val="20"/>
                <w:lang w:eastAsia="pl-PL"/>
              </w:rPr>
              <w:t>sekukinumab</w:t>
            </w:r>
            <w:proofErr w:type="spellEnd"/>
            <w:r w:rsidR="00551DED"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F16A59" w:rsidRPr="00154BF9">
              <w:rPr>
                <w:rFonts w:ascii="Times New Roman" w:eastAsia="Times New Roman" w:hAnsi="Times New Roman" w:cs="Times New Roman"/>
                <w:sz w:val="20"/>
                <w:szCs w:val="20"/>
                <w:lang w:eastAsia="pl-PL"/>
              </w:rPr>
              <w:t>dożylnej</w:t>
            </w:r>
            <w:r w:rsidR="000717B4">
              <w:rPr>
                <w:rFonts w:ascii="Times New Roman" w:eastAsia="Times New Roman" w:hAnsi="Times New Roman" w:cs="Times New Roman"/>
                <w:sz w:val="20"/>
                <w:szCs w:val="20"/>
                <w:lang w:eastAsia="pl-PL"/>
              </w:rPr>
              <w:t>,</w:t>
            </w:r>
            <w:r w:rsidR="00494A5E">
              <w:rPr>
                <w:rFonts w:ascii="Times New Roman" w:eastAsia="Times New Roman" w:hAnsi="Times New Roman" w:cs="Times New Roman"/>
                <w:sz w:val="20"/>
                <w:szCs w:val="20"/>
                <w:lang w:eastAsia="pl-PL"/>
              </w:rPr>
              <w:t xml:space="preserve"> </w:t>
            </w:r>
            <w:proofErr w:type="spellStart"/>
            <w:r w:rsidR="00CC1E78" w:rsidRPr="00154BF9">
              <w:rPr>
                <w:rFonts w:ascii="Times New Roman" w:eastAsia="Times New Roman" w:hAnsi="Times New Roman" w:cs="Times New Roman"/>
                <w:sz w:val="20"/>
                <w:szCs w:val="20"/>
                <w:lang w:eastAsia="pl-PL"/>
              </w:rPr>
              <w:t>anakinrę</w:t>
            </w:r>
            <w:proofErr w:type="spellEnd"/>
            <w:r w:rsidR="00D92C20">
              <w:rPr>
                <w:rFonts w:ascii="Times New Roman" w:eastAsia="Times New Roman" w:hAnsi="Times New Roman" w:cs="Times New Roman"/>
                <w:sz w:val="20"/>
                <w:szCs w:val="20"/>
                <w:lang w:eastAsia="pl-PL"/>
              </w:rPr>
              <w:t xml:space="preserve">, </w:t>
            </w:r>
            <w:proofErr w:type="spellStart"/>
            <w:r w:rsidR="000717B4">
              <w:rPr>
                <w:rFonts w:ascii="Times New Roman" w:eastAsia="Times New Roman" w:hAnsi="Times New Roman" w:cs="Times New Roman"/>
                <w:sz w:val="20"/>
                <w:szCs w:val="20"/>
                <w:lang w:eastAsia="pl-PL"/>
              </w:rPr>
              <w:t>tofacytynib</w:t>
            </w:r>
            <w:proofErr w:type="spellEnd"/>
            <w:r w:rsidR="0052643B" w:rsidRPr="00154BF9">
              <w:rPr>
                <w:rFonts w:ascii="Times New Roman" w:eastAsia="Times New Roman" w:hAnsi="Times New Roman" w:cs="Times New Roman"/>
                <w:sz w:val="20"/>
                <w:szCs w:val="20"/>
                <w:lang w:eastAsia="pl-PL"/>
              </w:rPr>
              <w:t xml:space="preserve"> </w:t>
            </w:r>
            <w:r w:rsidR="00D92C20" w:rsidRPr="00D92C20">
              <w:rPr>
                <w:rFonts w:ascii="Times New Roman" w:eastAsia="Times New Roman" w:hAnsi="Times New Roman" w:cs="Times New Roman"/>
                <w:sz w:val="20"/>
                <w:szCs w:val="20"/>
                <w:lang w:eastAsia="pl-PL"/>
              </w:rPr>
              <w:t xml:space="preserve">i </w:t>
            </w:r>
            <w:proofErr w:type="spellStart"/>
            <w:r w:rsidR="00D92C20" w:rsidRPr="00D92C20">
              <w:rPr>
                <w:rFonts w:ascii="Times New Roman" w:eastAsia="Times New Roman" w:hAnsi="Times New Roman" w:cs="Times New Roman"/>
                <w:sz w:val="20"/>
                <w:szCs w:val="20"/>
                <w:lang w:eastAsia="pl-PL"/>
              </w:rPr>
              <w:t>kanakinumab</w:t>
            </w:r>
            <w:proofErr w:type="spellEnd"/>
            <w:r w:rsidR="00D92C20" w:rsidRPr="00D92C20">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dawkowaniem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określonym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aktualnej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Charakterystyce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Produktu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Leczniczego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uwzględnieniem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rekomendacji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EULAR/ACR</w:t>
            </w:r>
            <w:r w:rsidR="00026AEE" w:rsidRPr="00154BF9">
              <w:rPr>
                <w:rFonts w:ascii="Times New Roman" w:eastAsia="Times New Roman" w:hAnsi="Times New Roman" w:cs="Times New Roman"/>
                <w:sz w:val="20"/>
                <w:szCs w:val="20"/>
                <w:lang w:eastAsia="pl-PL"/>
              </w:rPr>
              <w:t>,</w:t>
            </w:r>
            <w:r w:rsidR="0052643B" w:rsidRPr="00154BF9">
              <w:rPr>
                <w:rFonts w:ascii="Times New Roman" w:hAnsi="Times New Roman" w:cs="Times New Roman"/>
                <w:sz w:val="20"/>
                <w:szCs w:val="20"/>
              </w:rPr>
              <w:t xml:space="preserve"> </w:t>
            </w:r>
            <w:r w:rsidR="00026AEE"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tym</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możliwości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zmniejszenia</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dawki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leku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wydłużenia</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odstępu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pomiędzy</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kolejnymi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dawkami</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których</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uzyskano</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cel</w:t>
            </w:r>
            <w:r w:rsidR="0052643B" w:rsidRPr="00154BF9">
              <w:rPr>
                <w:rFonts w:ascii="Times New Roman" w:eastAsia="Times New Roman" w:hAnsi="Times New Roman" w:cs="Times New Roman"/>
                <w:sz w:val="20"/>
                <w:szCs w:val="20"/>
                <w:lang w:eastAsia="pl-PL"/>
              </w:rPr>
              <w:t xml:space="preserve"> </w:t>
            </w:r>
            <w:r w:rsidR="00026AEE" w:rsidRPr="00154BF9">
              <w:rPr>
                <w:rFonts w:ascii="Times New Roman" w:eastAsia="Times New Roman" w:hAnsi="Times New Roman" w:cs="Times New Roman"/>
                <w:sz w:val="20"/>
                <w:szCs w:val="20"/>
                <w:lang w:eastAsia="pl-PL"/>
              </w:rPr>
              <w:t>terapii.</w:t>
            </w:r>
          </w:p>
          <w:p w14:paraId="475CF274" w14:textId="7EE5E1CC" w:rsidR="00CB2BED" w:rsidRPr="00154BF9" w:rsidRDefault="009D7AE1" w:rsidP="00127ABF">
            <w:pPr>
              <w:widowControl w:val="0"/>
              <w:numPr>
                <w:ilvl w:val="3"/>
                <w:numId w:val="23"/>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leki</w:t>
            </w:r>
            <w:r w:rsidR="00551DED" w:rsidRPr="00154BF9">
              <w:rPr>
                <w:rFonts w:ascii="Times New Roman" w:eastAsia="Times New Roman" w:hAnsi="Times New Roman" w:cs="Times New Roman"/>
                <w:sz w:val="20"/>
                <w:szCs w:val="20"/>
                <w:lang w:eastAsia="pl-PL"/>
              </w:rPr>
              <w:t xml:space="preserve"> (z wyjątkiem </w:t>
            </w:r>
            <w:proofErr w:type="spellStart"/>
            <w:r w:rsidR="00551DED" w:rsidRPr="00154BF9">
              <w:rPr>
                <w:rFonts w:ascii="Times New Roman" w:eastAsia="Times New Roman" w:hAnsi="Times New Roman" w:cs="Times New Roman"/>
                <w:sz w:val="20"/>
                <w:szCs w:val="20"/>
                <w:lang w:eastAsia="pl-PL"/>
              </w:rPr>
              <w:t>sekukinumabu</w:t>
            </w:r>
            <w:proofErr w:type="spellEnd"/>
            <w:r w:rsidR="00551DED" w:rsidRPr="00154BF9">
              <w:rPr>
                <w:rFonts w:ascii="Times New Roman" w:eastAsia="Times New Roman" w:hAnsi="Times New Roman" w:cs="Times New Roman"/>
                <w:sz w:val="20"/>
                <w:szCs w:val="20"/>
                <w:lang w:eastAsia="pl-PL"/>
              </w:rPr>
              <w:t xml:space="preserve">, który może być podawany z lub bez </w:t>
            </w:r>
            <w:proofErr w:type="spellStart"/>
            <w:r w:rsidR="00551DED" w:rsidRPr="00154BF9">
              <w:rPr>
                <w:rFonts w:ascii="Times New Roman" w:eastAsia="Times New Roman" w:hAnsi="Times New Roman" w:cs="Times New Roman"/>
                <w:sz w:val="20"/>
                <w:szCs w:val="20"/>
                <w:lang w:eastAsia="pl-PL"/>
              </w:rPr>
              <w:t>metotreksatu</w:t>
            </w:r>
            <w:proofErr w:type="spellEnd"/>
            <w:r w:rsidR="00551DED"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metotreksatem</w:t>
            </w:r>
            <w:proofErr w:type="spellEnd"/>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skutecznej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klinicznie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tolerowanej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chorego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chyba,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że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występują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p>
          <w:p w14:paraId="364A1925" w14:textId="6F5D7AEA" w:rsidR="009D7AE1" w:rsidRPr="00154BF9" w:rsidRDefault="009D7AE1" w:rsidP="00127ABF">
            <w:pPr>
              <w:pStyle w:val="Akapitzlist"/>
              <w:widowControl w:val="0"/>
              <w:autoSpaceDE w:val="0"/>
              <w:autoSpaceDN w:val="0"/>
              <w:adjustRightInd w:val="0"/>
              <w:spacing w:after="60" w:line="276" w:lineRule="auto"/>
              <w:ind w:left="454"/>
              <w:contextualSpacing w:val="0"/>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wystąpienia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przeciwwskazań</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lastRenderedPageBreak/>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stosowania</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metotreksatu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rozważyć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podawanie</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adalimumabu</w:t>
            </w:r>
            <w:proofErr w:type="spellEnd"/>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etanerceptu</w:t>
            </w:r>
            <w:proofErr w:type="spellEnd"/>
            <w:r w:rsidR="00CC1E78"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tocilizumabu</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AB1012">
              <w:rPr>
                <w:rFonts w:ascii="Times New Roman" w:eastAsia="Times New Roman" w:hAnsi="Times New Roman" w:cs="Times New Roman"/>
                <w:sz w:val="20"/>
                <w:szCs w:val="20"/>
                <w:lang w:eastAsia="pl-PL"/>
              </w:rPr>
              <w:t>,</w:t>
            </w:r>
            <w:r w:rsidR="00494A5E">
              <w:rPr>
                <w:rFonts w:ascii="Times New Roman" w:eastAsia="Times New Roman" w:hAnsi="Times New Roman" w:cs="Times New Roman"/>
                <w:sz w:val="20"/>
                <w:szCs w:val="20"/>
                <w:lang w:eastAsia="pl-PL"/>
              </w:rPr>
              <w:t xml:space="preserve"> </w:t>
            </w:r>
            <w:proofErr w:type="spellStart"/>
            <w:r w:rsidR="00CC1E78" w:rsidRPr="00154BF9">
              <w:rPr>
                <w:rFonts w:ascii="Times New Roman" w:eastAsia="Times New Roman" w:hAnsi="Times New Roman" w:cs="Times New Roman"/>
                <w:sz w:val="20"/>
                <w:szCs w:val="20"/>
                <w:lang w:eastAsia="pl-PL"/>
              </w:rPr>
              <w:t>anakinry</w:t>
            </w:r>
            <w:proofErr w:type="spellEnd"/>
            <w:r w:rsidR="00D92C20">
              <w:rPr>
                <w:rFonts w:ascii="Times New Roman" w:eastAsia="Times New Roman" w:hAnsi="Times New Roman" w:cs="Times New Roman"/>
                <w:sz w:val="20"/>
                <w:szCs w:val="20"/>
                <w:lang w:eastAsia="pl-PL"/>
              </w:rPr>
              <w:t xml:space="preserve">, </w:t>
            </w:r>
            <w:proofErr w:type="spellStart"/>
            <w:r w:rsidR="00AB1012">
              <w:rPr>
                <w:rFonts w:ascii="Times New Roman" w:eastAsia="Times New Roman" w:hAnsi="Times New Roman" w:cs="Times New Roman"/>
                <w:sz w:val="20"/>
                <w:szCs w:val="20"/>
                <w:lang w:eastAsia="pl-PL"/>
              </w:rPr>
              <w:t>tofacytynibu</w:t>
            </w:r>
            <w:proofErr w:type="spellEnd"/>
            <w:r w:rsidR="00AB1012">
              <w:rPr>
                <w:rFonts w:ascii="Times New Roman" w:eastAsia="Times New Roman" w:hAnsi="Times New Roman" w:cs="Times New Roman"/>
                <w:sz w:val="20"/>
                <w:szCs w:val="20"/>
                <w:lang w:eastAsia="pl-PL"/>
              </w:rPr>
              <w:t xml:space="preserve"> </w:t>
            </w:r>
            <w:r w:rsidR="00D92C20" w:rsidRPr="00D92C20">
              <w:rPr>
                <w:rFonts w:ascii="Times New Roman" w:eastAsia="Times New Roman" w:hAnsi="Times New Roman" w:cs="Times New Roman"/>
                <w:sz w:val="20"/>
                <w:szCs w:val="20"/>
                <w:lang w:eastAsia="pl-PL"/>
              </w:rPr>
              <w:t xml:space="preserve">i </w:t>
            </w:r>
            <w:proofErr w:type="spellStart"/>
            <w:r w:rsidR="00D92C20" w:rsidRPr="00D92C20">
              <w:rPr>
                <w:rFonts w:ascii="Times New Roman" w:eastAsia="Times New Roman" w:hAnsi="Times New Roman" w:cs="Times New Roman"/>
                <w:sz w:val="20"/>
                <w:szCs w:val="20"/>
                <w:lang w:eastAsia="pl-PL"/>
              </w:rPr>
              <w:t>kanakinumab</w:t>
            </w:r>
            <w:r w:rsidR="00D92C20">
              <w:rPr>
                <w:rFonts w:ascii="Times New Roman" w:eastAsia="Times New Roman" w:hAnsi="Times New Roman" w:cs="Times New Roman"/>
                <w:sz w:val="20"/>
                <w:szCs w:val="20"/>
                <w:lang w:eastAsia="pl-PL"/>
              </w:rPr>
              <w:t>u</w:t>
            </w:r>
            <w:proofErr w:type="spellEnd"/>
            <w:r w:rsidR="00D92C20" w:rsidRPr="00D92C20">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innym,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programie</w:t>
            </w:r>
            <w:r w:rsidR="0052643B" w:rsidRPr="00154BF9">
              <w:rPr>
                <w:rFonts w:ascii="Times New Roman" w:eastAsia="Times New Roman" w:hAnsi="Times New Roman" w:cs="Times New Roman"/>
                <w:sz w:val="20"/>
                <w:szCs w:val="20"/>
                <w:lang w:eastAsia="pl-PL"/>
              </w:rPr>
              <w:t xml:space="preserve"> </w:t>
            </w:r>
            <w:r w:rsidR="00D92C20">
              <w:rPr>
                <w:rFonts w:ascii="Times New Roman" w:eastAsia="Times New Roman" w:hAnsi="Times New Roman" w:cs="Times New Roman"/>
                <w:sz w:val="20"/>
                <w:szCs w:val="20"/>
                <w:lang w:eastAsia="pl-PL"/>
              </w:rPr>
              <w:t xml:space="preserve">klasycznym </w:t>
            </w:r>
            <w:r w:rsidRPr="00154BF9">
              <w:rPr>
                <w:rFonts w:ascii="Times New Roman" w:eastAsia="Times New Roman" w:hAnsi="Times New Roman" w:cs="Times New Roman"/>
                <w:sz w:val="20"/>
                <w:szCs w:val="20"/>
                <w:lang w:eastAsia="pl-PL"/>
              </w:rPr>
              <w:t>lekiem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modyfikującym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przebieg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choroby/immunosupresyjnym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494A5E">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obowiązującej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dawce.</w:t>
            </w:r>
          </w:p>
          <w:p w14:paraId="227D8D99" w14:textId="733A39CB" w:rsidR="0029198D" w:rsidRPr="00154BF9" w:rsidRDefault="0029198D"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Pacjent odbywa w ośrodku minimum trzy wizyty monitorujące (z wynikami badań i oceną efektywności leczenia) od początku leczenia. Po uzyskaniu celu leczenia (niskiej aktywności lub remisji) i utrzymywania się tego stanu minimum 6 miesięcy możliwe jest wydawanie leku do kolejnej wizyty monitorującej. Leczenie może być kontynuowane w warunkach domowych, jeśli lekarz i pacjent uznają to za właściwe. </w:t>
            </w:r>
          </w:p>
          <w:p w14:paraId="3AC9B528" w14:textId="1BC812CA" w:rsidR="0029198D" w:rsidRPr="00154BF9" w:rsidRDefault="0029198D"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Na pierwszej wizycie z podaniem leku w ośrodku pacjent lub opiekunowie prawni pacjenta otrzymują wyczerpującą informację na temat techniki podawania leków stosowanych pozajelitowo oraz potencjalnych objawach niepożądanych związanych ze stosowanym leczeniem.</w:t>
            </w:r>
          </w:p>
          <w:p w14:paraId="53B37C14" w14:textId="345255CE" w:rsidR="009D7AE1" w:rsidRPr="00154BF9" w:rsidRDefault="0029198D"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Pacjent otrzymuje leki dla celów terapii domowej w ośrodku prowadzącym terapię w programie lekowym danego pacjenta na okres pomiędzy wizytami w ośrodku.</w:t>
            </w:r>
          </w:p>
        </w:tc>
        <w:tc>
          <w:tcPr>
            <w:tcW w:w="4295" w:type="dxa"/>
            <w:tcBorders>
              <w:top w:val="single" w:sz="4" w:space="0" w:color="auto"/>
              <w:bottom w:val="single" w:sz="4" w:space="0" w:color="auto"/>
              <w:right w:val="single" w:sz="4" w:space="0" w:color="auto"/>
            </w:tcBorders>
          </w:tcPr>
          <w:p w14:paraId="27ABEABA" w14:textId="3A0E549F" w:rsidR="009D7AE1" w:rsidRPr="00154BF9" w:rsidRDefault="00417414" w:rsidP="0052643B">
            <w:pPr>
              <w:widowControl w:val="0"/>
              <w:numPr>
                <w:ilvl w:val="0"/>
                <w:numId w:val="24"/>
              </w:numPr>
              <w:autoSpaceDE w:val="0"/>
              <w:autoSpaceDN w:val="0"/>
              <w:adjustRightInd w:val="0"/>
              <w:spacing w:before="120"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sz w:val="20"/>
                <w:szCs w:val="20"/>
                <w:lang w:eastAsia="pl-PL"/>
              </w:rPr>
              <w:lastRenderedPageBreak/>
              <w:t>Badania</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przy</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kwalifikacji</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do</w:t>
            </w:r>
            <w:r w:rsidR="0052643B" w:rsidRPr="00154BF9">
              <w:rPr>
                <w:rFonts w:ascii="Times New Roman" w:eastAsia="Times New Roman" w:hAnsi="Times New Roman" w:cs="Times New Roman"/>
                <w:b/>
                <w:sz w:val="20"/>
                <w:szCs w:val="20"/>
                <w:lang w:eastAsia="pl-PL"/>
              </w:rPr>
              <w:t xml:space="preserve"> </w:t>
            </w:r>
            <w:r w:rsidR="009D7AE1" w:rsidRPr="00154BF9">
              <w:rPr>
                <w:rFonts w:ascii="Times New Roman" w:eastAsia="Times New Roman" w:hAnsi="Times New Roman" w:cs="Times New Roman"/>
                <w:b/>
                <w:sz w:val="20"/>
                <w:szCs w:val="20"/>
                <w:lang w:eastAsia="pl-PL"/>
              </w:rPr>
              <w:t>programu</w:t>
            </w:r>
          </w:p>
          <w:p w14:paraId="0958A4C9" w14:textId="0F8C501E"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próba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tuberkulinowa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test</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Quantiferon</w:t>
            </w:r>
            <w:proofErr w:type="spellEnd"/>
            <w:r w:rsidRPr="00154BF9">
              <w:rPr>
                <w:rFonts w:ascii="Times New Roman" w:eastAsia="Times New Roman" w:hAnsi="Times New Roman" w:cs="Times New Roman"/>
                <w:sz w:val="20"/>
                <w:szCs w:val="20"/>
                <w:lang w:eastAsia="pl-PL"/>
              </w:rPr>
              <w:t>;</w:t>
            </w:r>
          </w:p>
          <w:p w14:paraId="28B663E0" w14:textId="36DA7AA6"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obecność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antygenu</w:t>
            </w:r>
            <w:r w:rsidR="0052643B" w:rsidRPr="00154BF9">
              <w:rPr>
                <w:rFonts w:ascii="Times New Roman" w:eastAsia="Times New Roman" w:hAnsi="Times New Roman" w:cs="Times New Roman"/>
                <w:sz w:val="20"/>
                <w:szCs w:val="20"/>
                <w:lang w:eastAsia="pl-PL"/>
              </w:rPr>
              <w:t xml:space="preserve"> </w:t>
            </w:r>
            <w:proofErr w:type="spellStart"/>
            <w:r w:rsidRPr="00154BF9">
              <w:rPr>
                <w:rFonts w:ascii="Times New Roman" w:eastAsia="Times New Roman" w:hAnsi="Times New Roman" w:cs="Times New Roman"/>
                <w:sz w:val="20"/>
                <w:szCs w:val="20"/>
                <w:lang w:eastAsia="pl-PL"/>
              </w:rPr>
              <w:t>HBs</w:t>
            </w:r>
            <w:proofErr w:type="spellEnd"/>
            <w:r w:rsidRPr="00154BF9">
              <w:rPr>
                <w:rFonts w:ascii="Times New Roman" w:eastAsia="Times New Roman" w:hAnsi="Times New Roman" w:cs="Times New Roman"/>
                <w:sz w:val="20"/>
                <w:szCs w:val="20"/>
                <w:lang w:eastAsia="pl-PL"/>
              </w:rPr>
              <w:t>;</w:t>
            </w:r>
          </w:p>
          <w:p w14:paraId="7B45B5C3" w14:textId="314DCB26" w:rsidR="00813190" w:rsidRPr="00154BF9" w:rsidRDefault="00813190"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 anty-</w:t>
            </w:r>
            <w:proofErr w:type="spellStart"/>
            <w:r w:rsidRPr="00154BF9">
              <w:rPr>
                <w:rFonts w:ascii="Times New Roman" w:eastAsia="Times New Roman" w:hAnsi="Times New Roman" w:cs="Times New Roman"/>
                <w:sz w:val="20"/>
                <w:szCs w:val="20"/>
                <w:lang w:eastAsia="pl-PL"/>
              </w:rPr>
              <w:t>HBc</w:t>
            </w:r>
            <w:proofErr w:type="spellEnd"/>
            <w:r w:rsidRPr="00154BF9">
              <w:rPr>
                <w:rFonts w:ascii="Times New Roman" w:eastAsia="Times New Roman" w:hAnsi="Times New Roman" w:cs="Times New Roman"/>
                <w:sz w:val="20"/>
                <w:szCs w:val="20"/>
                <w:lang w:eastAsia="pl-PL"/>
              </w:rPr>
              <w:t>;</w:t>
            </w:r>
          </w:p>
          <w:p w14:paraId="78224C55" w14:textId="732A2E31"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przeciwciała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anty-HCV;</w:t>
            </w:r>
          </w:p>
          <w:p w14:paraId="56D74F6A" w14:textId="2C2D0331"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val="de-DE" w:eastAsia="pl-PL"/>
              </w:rPr>
            </w:pPr>
            <w:proofErr w:type="spellStart"/>
            <w:r w:rsidRPr="00154BF9">
              <w:rPr>
                <w:rFonts w:ascii="Times New Roman" w:eastAsia="Times New Roman" w:hAnsi="Times New Roman" w:cs="Times New Roman"/>
                <w:sz w:val="20"/>
                <w:szCs w:val="20"/>
                <w:lang w:val="en-US" w:eastAsia="pl-PL"/>
              </w:rPr>
              <w:t>antygen</w:t>
            </w:r>
            <w:proofErr w:type="spellEnd"/>
            <w:r w:rsidR="0052643B" w:rsidRPr="00154BF9">
              <w:rPr>
                <w:rFonts w:ascii="Times New Roman" w:eastAsia="Times New Roman" w:hAnsi="Times New Roman" w:cs="Times New Roman"/>
                <w:sz w:val="20"/>
                <w:szCs w:val="20"/>
                <w:lang w:val="de-DE" w:eastAsia="pl-PL"/>
              </w:rPr>
              <w:t xml:space="preserve"> </w:t>
            </w:r>
            <w:proofErr w:type="spellStart"/>
            <w:r w:rsidRPr="00154BF9">
              <w:rPr>
                <w:rFonts w:ascii="Times New Roman" w:eastAsia="Times New Roman" w:hAnsi="Times New Roman" w:cs="Times New Roman"/>
                <w:sz w:val="20"/>
                <w:szCs w:val="20"/>
                <w:lang w:val="en-US" w:eastAsia="pl-PL"/>
              </w:rPr>
              <w:t>wirusa</w:t>
            </w:r>
            <w:proofErr w:type="spellEnd"/>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(HIV</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Ag/Ab</w:t>
            </w:r>
            <w:r w:rsidR="0052643B" w:rsidRPr="00154BF9">
              <w:rPr>
                <w:rFonts w:ascii="Times New Roman" w:eastAsia="Times New Roman" w:hAnsi="Times New Roman" w:cs="Times New Roman"/>
                <w:sz w:val="20"/>
                <w:szCs w:val="20"/>
                <w:lang w:val="de-DE" w:eastAsia="pl-PL"/>
              </w:rPr>
              <w:t xml:space="preserve"> </w:t>
            </w:r>
            <w:r w:rsidRPr="00154BF9">
              <w:rPr>
                <w:rFonts w:ascii="Times New Roman" w:eastAsia="Times New Roman" w:hAnsi="Times New Roman" w:cs="Times New Roman"/>
                <w:sz w:val="20"/>
                <w:szCs w:val="20"/>
                <w:lang w:val="de-DE" w:eastAsia="pl-PL"/>
              </w:rPr>
              <w:t>Combo);</w:t>
            </w:r>
          </w:p>
          <w:p w14:paraId="1D0E7D23" w14:textId="5B2CCE5E" w:rsidR="009D7AE1"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RTG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klatki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piersiowej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(maksymalnie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przed</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kwalifikacją);</w:t>
            </w:r>
          </w:p>
          <w:p w14:paraId="4FE36335" w14:textId="385ABF34" w:rsidR="004144A9"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EKG</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opisem.</w:t>
            </w:r>
          </w:p>
          <w:p w14:paraId="6161CAA2" w14:textId="1859AA85" w:rsidR="004144A9"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kwalifikowania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D04863">
              <w:rPr>
                <w:rFonts w:ascii="Times New Roman" w:eastAsia="Times New Roman" w:hAnsi="Times New Roman" w:cs="Times New Roman"/>
                <w:sz w:val="20"/>
                <w:szCs w:val="20"/>
                <w:lang w:eastAsia="pl-PL"/>
              </w:rPr>
              <w:t>,</w:t>
            </w:r>
            <w:r w:rsidR="00DE7A19">
              <w:rPr>
                <w:rFonts w:ascii="Times New Roman" w:eastAsia="Times New Roman" w:hAnsi="Times New Roman" w:cs="Times New Roman"/>
                <w:sz w:val="20"/>
                <w:szCs w:val="20"/>
                <w:lang w:eastAsia="pl-PL"/>
              </w:rPr>
              <w:t xml:space="preserve"> </w:t>
            </w:r>
            <w:proofErr w:type="spellStart"/>
            <w:r w:rsidR="00966003" w:rsidRPr="00154BF9">
              <w:rPr>
                <w:rFonts w:ascii="Times New Roman" w:eastAsia="Times New Roman" w:hAnsi="Times New Roman" w:cs="Times New Roman"/>
                <w:sz w:val="20"/>
                <w:szCs w:val="20"/>
                <w:lang w:eastAsia="pl-PL"/>
              </w:rPr>
              <w:t>anakinrą</w:t>
            </w:r>
            <w:proofErr w:type="spellEnd"/>
            <w:r w:rsidR="00D92C20">
              <w:rPr>
                <w:rFonts w:ascii="Times New Roman" w:eastAsia="Times New Roman" w:hAnsi="Times New Roman" w:cs="Times New Roman"/>
                <w:sz w:val="20"/>
                <w:szCs w:val="20"/>
                <w:lang w:eastAsia="pl-PL"/>
              </w:rPr>
              <w:t xml:space="preserve">, </w:t>
            </w:r>
            <w:proofErr w:type="spellStart"/>
            <w:r w:rsidR="00D04863">
              <w:rPr>
                <w:rFonts w:ascii="Times New Roman" w:eastAsia="Times New Roman" w:hAnsi="Times New Roman" w:cs="Times New Roman"/>
                <w:sz w:val="20"/>
                <w:szCs w:val="20"/>
                <w:lang w:eastAsia="pl-PL"/>
              </w:rPr>
              <w:t>tofacytynibem</w:t>
            </w:r>
            <w:proofErr w:type="spellEnd"/>
            <w:r w:rsidR="0052643B" w:rsidRPr="00154BF9">
              <w:rPr>
                <w:rFonts w:ascii="Times New Roman" w:eastAsia="Times New Roman" w:hAnsi="Times New Roman" w:cs="Times New Roman"/>
                <w:sz w:val="20"/>
                <w:szCs w:val="20"/>
                <w:lang w:eastAsia="pl-PL"/>
              </w:rPr>
              <w:t xml:space="preserve"> </w:t>
            </w:r>
            <w:r w:rsidR="00D92C20">
              <w:t xml:space="preserve"> </w:t>
            </w:r>
            <w:r w:rsidR="00D92C20" w:rsidRPr="00D92C20">
              <w:rPr>
                <w:rFonts w:ascii="Times New Roman" w:eastAsia="Times New Roman" w:hAnsi="Times New Roman" w:cs="Times New Roman"/>
                <w:sz w:val="20"/>
                <w:szCs w:val="20"/>
                <w:lang w:eastAsia="pl-PL"/>
              </w:rPr>
              <w:t xml:space="preserve">lub </w:t>
            </w:r>
            <w:proofErr w:type="spellStart"/>
            <w:r w:rsidR="00D92C20" w:rsidRPr="00D92C20">
              <w:rPr>
                <w:rFonts w:ascii="Times New Roman" w:eastAsia="Times New Roman" w:hAnsi="Times New Roman" w:cs="Times New Roman"/>
                <w:sz w:val="20"/>
                <w:szCs w:val="20"/>
                <w:lang w:eastAsia="pl-PL"/>
              </w:rPr>
              <w:t>kanakinumabem</w:t>
            </w:r>
            <w:proofErr w:type="spellEnd"/>
            <w:r w:rsidR="00D92C20" w:rsidRPr="00D92C20">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p>
          <w:p w14:paraId="32D05BAB"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płytek krwi (PLT);</w:t>
            </w:r>
          </w:p>
          <w:p w14:paraId="4B869875" w14:textId="77777777" w:rsidR="007C7543" w:rsidRPr="00154BF9" w:rsidRDefault="007C75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oznaczenie wartości odczynu Biernackiego (OB);</w:t>
            </w:r>
          </w:p>
          <w:p w14:paraId="4154BDD9" w14:textId="77777777" w:rsidR="007C7543" w:rsidRPr="00154BF9" w:rsidRDefault="007C75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białka C-reaktywnego (CRP);</w:t>
            </w:r>
          </w:p>
          <w:p w14:paraId="68E664AF"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stężenia kreatyniny w surowicy krwi;</w:t>
            </w:r>
          </w:p>
          <w:p w14:paraId="7787C73A"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aktywności aminotransferazy </w:t>
            </w:r>
            <w:proofErr w:type="spellStart"/>
            <w:r w:rsidRPr="00154BF9">
              <w:rPr>
                <w:rFonts w:ascii="Times New Roman" w:eastAsia="Times New Roman" w:hAnsi="Times New Roman" w:cs="Times New Roman"/>
                <w:sz w:val="20"/>
                <w:szCs w:val="20"/>
                <w:lang w:eastAsia="pl-PL"/>
              </w:rPr>
              <w:t>asparaginianowej</w:t>
            </w:r>
            <w:proofErr w:type="spellEnd"/>
            <w:r w:rsidRPr="00154BF9">
              <w:rPr>
                <w:rFonts w:ascii="Times New Roman" w:eastAsia="Times New Roman" w:hAnsi="Times New Roman" w:cs="Times New Roman"/>
                <w:sz w:val="20"/>
                <w:szCs w:val="20"/>
                <w:lang w:eastAsia="pl-PL"/>
              </w:rPr>
              <w:t xml:space="preserve"> (AST);</w:t>
            </w:r>
          </w:p>
          <w:p w14:paraId="47C6EE15" w14:textId="77777777" w:rsidR="00A60E43" w:rsidRPr="00154BF9" w:rsidRDefault="00A60E43" w:rsidP="00127ABF">
            <w:pPr>
              <w:pStyle w:val="Akapitzlist"/>
              <w:numPr>
                <w:ilvl w:val="3"/>
                <w:numId w:val="24"/>
              </w:numPr>
              <w:spacing w:after="60" w:line="276" w:lineRule="auto"/>
              <w:contextualSpacing w:val="0"/>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oznaczenie aktywności aminotransferazy alaninowej (ALT);</w:t>
            </w:r>
          </w:p>
          <w:p w14:paraId="597939EC" w14:textId="180ACD33" w:rsidR="004144A9" w:rsidRPr="00154BF9" w:rsidRDefault="009D7AE1"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badanie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ogólne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moczu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decyzji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lekarza);</w:t>
            </w:r>
          </w:p>
          <w:p w14:paraId="1AAFF724" w14:textId="3A1D3483" w:rsidR="009D7AE1" w:rsidRPr="00154BF9" w:rsidRDefault="00A60E43"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oznaczenie </w:t>
            </w:r>
            <w:r w:rsidR="009D7AE1" w:rsidRPr="00154BF9">
              <w:rPr>
                <w:rFonts w:ascii="Times New Roman" w:eastAsia="Times New Roman" w:hAnsi="Times New Roman" w:cs="Times New Roman"/>
                <w:sz w:val="20"/>
                <w:szCs w:val="20"/>
                <w:lang w:eastAsia="pl-PL"/>
              </w:rPr>
              <w:t>stężeni</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cholesterolu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całkowitego,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HDL,</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trójglicerydów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kwalifikowanych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D04863">
              <w:rPr>
                <w:rFonts w:ascii="Times New Roman" w:eastAsia="Times New Roman" w:hAnsi="Times New Roman" w:cs="Times New Roman"/>
                <w:sz w:val="20"/>
                <w:szCs w:val="20"/>
                <w:lang w:eastAsia="pl-PL"/>
              </w:rPr>
              <w:t xml:space="preserve"> lub </w:t>
            </w:r>
            <w:proofErr w:type="spellStart"/>
            <w:r w:rsidR="00D04863">
              <w:rPr>
                <w:rFonts w:ascii="Times New Roman" w:eastAsia="Times New Roman" w:hAnsi="Times New Roman" w:cs="Times New Roman"/>
                <w:sz w:val="20"/>
                <w:szCs w:val="20"/>
                <w:lang w:eastAsia="pl-PL"/>
              </w:rPr>
              <w:t>tofacytynibem</w:t>
            </w:r>
            <w:proofErr w:type="spellEnd"/>
            <w:r w:rsidR="009D7AE1" w:rsidRPr="00154BF9">
              <w:rPr>
                <w:rFonts w:ascii="Times New Roman" w:eastAsia="Times New Roman" w:hAnsi="Times New Roman" w:cs="Times New Roman"/>
                <w:sz w:val="20"/>
                <w:szCs w:val="20"/>
                <w:lang w:eastAsia="pl-PL"/>
              </w:rPr>
              <w:t>.</w:t>
            </w:r>
          </w:p>
          <w:p w14:paraId="6BA8E2D6" w14:textId="77777777" w:rsidR="009D7AE1" w:rsidRPr="00154BF9" w:rsidRDefault="009D7AE1" w:rsidP="00127ABF">
            <w:pPr>
              <w:spacing w:after="60" w:line="276" w:lineRule="auto"/>
              <w:ind w:left="357"/>
              <w:jc w:val="both"/>
              <w:rPr>
                <w:rFonts w:ascii="Times New Roman" w:eastAsia="Times New Roman" w:hAnsi="Times New Roman" w:cs="Times New Roman"/>
                <w:b/>
                <w:sz w:val="20"/>
                <w:szCs w:val="20"/>
                <w:lang w:eastAsia="pl-PL"/>
              </w:rPr>
            </w:pPr>
          </w:p>
          <w:p w14:paraId="491325E0" w14:textId="5F9DE02C" w:rsidR="009D7AE1" w:rsidRPr="00154BF9" w:rsidRDefault="009D7AE1" w:rsidP="00127ABF">
            <w:pPr>
              <w:widowControl w:val="0"/>
              <w:numPr>
                <w:ilvl w:val="0"/>
                <w:numId w:val="24"/>
              </w:numPr>
              <w:autoSpaceDE w:val="0"/>
              <w:autoSpaceDN w:val="0"/>
              <w:adjustRightInd w:val="0"/>
              <w:spacing w:after="60" w:line="276" w:lineRule="auto"/>
              <w:jc w:val="both"/>
              <w:rPr>
                <w:rFonts w:ascii="Times New Roman" w:eastAsia="Times New Roman" w:hAnsi="Times New Roman" w:cs="Times New Roman"/>
                <w:b/>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leczenia</w:t>
            </w:r>
          </w:p>
          <w:p w14:paraId="7EA0DF35" w14:textId="205F3F31" w:rsidR="009D7AE1" w:rsidRPr="00154BF9" w:rsidRDefault="009D7AE1" w:rsidP="00127ABF">
            <w:pPr>
              <w:widowControl w:val="0"/>
              <w:numPr>
                <w:ilvl w:val="1"/>
                <w:numId w:val="24"/>
              </w:numPr>
              <w:autoSpaceDE w:val="0"/>
              <w:autoSpaceDN w:val="0"/>
              <w:adjustRightInd w:val="0"/>
              <w:spacing w:after="60" w:line="276" w:lineRule="auto"/>
              <w:jc w:val="both"/>
              <w:rPr>
                <w:rFonts w:ascii="Times New Roman" w:eastAsia="Batang" w:hAnsi="Times New Roman" w:cs="Times New Roman"/>
                <w:sz w:val="20"/>
                <w:szCs w:val="20"/>
                <w:lang w:eastAsia="ar-SA"/>
              </w:rPr>
            </w:pP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ciągu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pierwszych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sześciu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miesięcy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daną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substancją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czynną,</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wymienione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badania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należy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wykonać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rzadziej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niż</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co</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3</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7C9FF67A" w14:textId="746CB912" w:rsidR="009D7AE1" w:rsidRPr="00154BF9" w:rsidRDefault="009D7AE1" w:rsidP="00127ABF">
            <w:pPr>
              <w:numPr>
                <w:ilvl w:val="3"/>
                <w:numId w:val="24"/>
              </w:numPr>
              <w:suppressAutoHyphens/>
              <w:spacing w:after="60" w:line="276" w:lineRule="auto"/>
              <w:jc w:val="both"/>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morfologia</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krwi,</w:t>
            </w:r>
            <w:r w:rsidR="0052643B" w:rsidRPr="00154BF9">
              <w:rPr>
                <w:rFonts w:ascii="Times New Roman" w:eastAsia="Batang"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przypadku</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pacjentów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leczonych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tocilizumabem</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postaci</w:t>
            </w:r>
            <w:r w:rsidR="0052643B" w:rsidRPr="00154BF9">
              <w:rPr>
                <w:rFonts w:ascii="Times New Roman" w:eastAsia="Times New Roman" w:hAnsi="Times New Roman" w:cs="Times New Roman"/>
                <w:sz w:val="20"/>
                <w:szCs w:val="20"/>
                <w:lang w:eastAsia="pl-PL"/>
              </w:rPr>
              <w:t xml:space="preserve"> </w:t>
            </w:r>
            <w:r w:rsidR="00057286" w:rsidRPr="00154BF9">
              <w:rPr>
                <w:rFonts w:ascii="Times New Roman" w:eastAsia="Times New Roman" w:hAnsi="Times New Roman" w:cs="Times New Roman"/>
                <w:sz w:val="20"/>
                <w:szCs w:val="20"/>
                <w:lang w:eastAsia="pl-PL"/>
              </w:rPr>
              <w:t>dożylnej</w:t>
            </w:r>
            <w:r w:rsidR="009C5785">
              <w:rPr>
                <w:rFonts w:ascii="Times New Roman" w:eastAsia="Times New Roman" w:hAnsi="Times New Roman" w:cs="Times New Roman"/>
                <w:sz w:val="20"/>
                <w:szCs w:val="20"/>
                <w:lang w:eastAsia="pl-PL"/>
              </w:rPr>
              <w:t>,</w:t>
            </w:r>
            <w:r w:rsidR="00DE7A19">
              <w:rPr>
                <w:rFonts w:ascii="Times New Roman" w:eastAsia="Times New Roman" w:hAnsi="Times New Roman" w:cs="Times New Roman"/>
                <w:sz w:val="20"/>
                <w:szCs w:val="20"/>
                <w:lang w:eastAsia="pl-PL"/>
              </w:rPr>
              <w:t xml:space="preserve"> </w:t>
            </w:r>
            <w:proofErr w:type="spellStart"/>
            <w:r w:rsidR="00966003" w:rsidRPr="00154BF9">
              <w:rPr>
                <w:rFonts w:ascii="Times New Roman" w:eastAsia="Times New Roman" w:hAnsi="Times New Roman" w:cs="Times New Roman"/>
                <w:sz w:val="20"/>
                <w:szCs w:val="20"/>
                <w:lang w:eastAsia="pl-PL"/>
              </w:rPr>
              <w:t>anakinrą</w:t>
            </w:r>
            <w:proofErr w:type="spellEnd"/>
            <w:r w:rsidR="00D92C20">
              <w:rPr>
                <w:rFonts w:ascii="Times New Roman" w:eastAsia="Times New Roman" w:hAnsi="Times New Roman" w:cs="Times New Roman"/>
                <w:sz w:val="20"/>
                <w:szCs w:val="20"/>
                <w:lang w:eastAsia="pl-PL"/>
              </w:rPr>
              <w:t xml:space="preserve">, </w:t>
            </w:r>
            <w:proofErr w:type="spellStart"/>
            <w:r w:rsidR="009C5785">
              <w:rPr>
                <w:rFonts w:ascii="Times New Roman" w:eastAsia="Times New Roman" w:hAnsi="Times New Roman" w:cs="Times New Roman"/>
                <w:sz w:val="20"/>
                <w:szCs w:val="20"/>
                <w:lang w:eastAsia="pl-PL"/>
              </w:rPr>
              <w:t>tofacytynibem</w:t>
            </w:r>
            <w:proofErr w:type="spellEnd"/>
            <w:r w:rsidR="00D92C20">
              <w:rPr>
                <w:rFonts w:ascii="Times New Roman" w:eastAsia="Times New Roman" w:hAnsi="Times New Roman" w:cs="Times New Roman"/>
                <w:sz w:val="20"/>
                <w:szCs w:val="20"/>
                <w:lang w:eastAsia="pl-PL"/>
              </w:rPr>
              <w:t xml:space="preserve"> </w:t>
            </w:r>
            <w:r w:rsidR="00D92C20">
              <w:t xml:space="preserve"> </w:t>
            </w:r>
            <w:r w:rsidR="00D92C20" w:rsidRPr="00D92C20">
              <w:rPr>
                <w:rFonts w:ascii="Times New Roman" w:eastAsia="Times New Roman" w:hAnsi="Times New Roman" w:cs="Times New Roman"/>
                <w:sz w:val="20"/>
                <w:szCs w:val="20"/>
                <w:lang w:eastAsia="pl-PL"/>
              </w:rPr>
              <w:t xml:space="preserve">lub </w:t>
            </w:r>
            <w:proofErr w:type="spellStart"/>
            <w:r w:rsidR="00D92C20" w:rsidRPr="00D92C20">
              <w:rPr>
                <w:rFonts w:ascii="Times New Roman" w:eastAsia="Times New Roman" w:hAnsi="Times New Roman" w:cs="Times New Roman"/>
                <w:sz w:val="20"/>
                <w:szCs w:val="20"/>
                <w:lang w:eastAsia="pl-PL"/>
              </w:rPr>
              <w:t>kanakinumabem</w:t>
            </w:r>
            <w:proofErr w:type="spellEnd"/>
            <w:r w:rsidR="00D92C20" w:rsidRPr="00D92C20">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morfologia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krwi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rozmazem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oznaczeniem</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bezwzględnej</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liczby</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granulocytów</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obojętnochłonnych;</w:t>
            </w:r>
            <w:r w:rsidR="0052643B" w:rsidRPr="00154BF9">
              <w:rPr>
                <w:rFonts w:ascii="Times New Roman" w:eastAsia="Times New Roman" w:hAnsi="Times New Roman" w:cs="Times New Roman"/>
                <w:sz w:val="20"/>
                <w:szCs w:val="20"/>
                <w:lang w:eastAsia="pl-PL"/>
              </w:rPr>
              <w:t xml:space="preserve"> </w:t>
            </w:r>
          </w:p>
          <w:p w14:paraId="1041A732" w14:textId="77777777" w:rsidR="007C7543" w:rsidRPr="00154BF9" w:rsidRDefault="007C75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wartości odczynu Biernackiego (OB);</w:t>
            </w:r>
          </w:p>
          <w:p w14:paraId="4D655549" w14:textId="77777777" w:rsidR="007C7543" w:rsidRPr="00154BF9" w:rsidRDefault="007C75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lastRenderedPageBreak/>
              <w:t>oznaczenie stężenia białka C-reaktywnego (CRP);</w:t>
            </w:r>
          </w:p>
          <w:p w14:paraId="48F7810E" w14:textId="77777777" w:rsidR="00A60E43" w:rsidRPr="00154BF9" w:rsidRDefault="00A60E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stężenia kreatyniny w surowicy krwi;</w:t>
            </w:r>
          </w:p>
          <w:p w14:paraId="20F6FDAB" w14:textId="77777777" w:rsidR="00A60E43" w:rsidRPr="00154BF9" w:rsidRDefault="00A60E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 xml:space="preserve">oznaczenie aktywności aminotransferazy </w:t>
            </w:r>
            <w:proofErr w:type="spellStart"/>
            <w:r w:rsidRPr="00154BF9">
              <w:rPr>
                <w:rFonts w:ascii="Times New Roman" w:eastAsia="Batang" w:hAnsi="Times New Roman" w:cs="Times New Roman"/>
                <w:sz w:val="20"/>
                <w:szCs w:val="20"/>
                <w:lang w:eastAsia="pl-PL"/>
              </w:rPr>
              <w:t>asparaginianowej</w:t>
            </w:r>
            <w:proofErr w:type="spellEnd"/>
            <w:r w:rsidRPr="00154BF9">
              <w:rPr>
                <w:rFonts w:ascii="Times New Roman" w:eastAsia="Batang" w:hAnsi="Times New Roman" w:cs="Times New Roman"/>
                <w:sz w:val="20"/>
                <w:szCs w:val="20"/>
                <w:lang w:eastAsia="pl-PL"/>
              </w:rPr>
              <w:t xml:space="preserve"> (AST);</w:t>
            </w:r>
          </w:p>
          <w:p w14:paraId="233BB67A" w14:textId="50FAA04D" w:rsidR="009D7AE1" w:rsidRPr="00154BF9" w:rsidRDefault="00A60E43" w:rsidP="00127ABF">
            <w:pPr>
              <w:pStyle w:val="Akapitzlist"/>
              <w:numPr>
                <w:ilvl w:val="3"/>
                <w:numId w:val="24"/>
              </w:numPr>
              <w:spacing w:after="60" w:line="276" w:lineRule="auto"/>
              <w:contextualSpacing w:val="0"/>
              <w:rPr>
                <w:rFonts w:ascii="Times New Roman" w:eastAsia="Batang" w:hAnsi="Times New Roman" w:cs="Times New Roman"/>
                <w:sz w:val="20"/>
                <w:szCs w:val="20"/>
                <w:lang w:eastAsia="pl-PL"/>
              </w:rPr>
            </w:pPr>
            <w:r w:rsidRPr="00154BF9">
              <w:rPr>
                <w:rFonts w:ascii="Times New Roman" w:eastAsia="Batang" w:hAnsi="Times New Roman" w:cs="Times New Roman"/>
                <w:sz w:val="20"/>
                <w:szCs w:val="20"/>
                <w:lang w:eastAsia="pl-PL"/>
              </w:rPr>
              <w:t>oznaczenie aktywności aminotransferazy alaninowej (ALT);</w:t>
            </w:r>
          </w:p>
          <w:p w14:paraId="44D43EBC" w14:textId="15CF1869" w:rsidR="009D7AE1" w:rsidRPr="00154BF9" w:rsidRDefault="00A60E43" w:rsidP="00127ABF">
            <w:pPr>
              <w:numPr>
                <w:ilvl w:val="3"/>
                <w:numId w:val="24"/>
              </w:numPr>
              <w:suppressAutoHyphens/>
              <w:spacing w:after="60" w:line="276" w:lineRule="auto"/>
              <w:jc w:val="both"/>
              <w:rPr>
                <w:rFonts w:ascii="Times New Roman" w:eastAsia="Times New Roman" w:hAnsi="Times New Roman" w:cs="Times New Roman"/>
                <w:sz w:val="20"/>
                <w:szCs w:val="20"/>
                <w:lang w:eastAsia="pl-PL"/>
              </w:rPr>
            </w:pPr>
            <w:r w:rsidRPr="00154BF9">
              <w:rPr>
                <w:rFonts w:ascii="Times New Roman" w:eastAsia="Batang" w:hAnsi="Times New Roman" w:cs="Times New Roman"/>
                <w:sz w:val="20"/>
                <w:szCs w:val="20"/>
                <w:lang w:eastAsia="pl-PL"/>
              </w:rPr>
              <w:t xml:space="preserve">oznaczenie </w:t>
            </w:r>
            <w:r w:rsidR="009D7AE1" w:rsidRPr="00154BF9">
              <w:rPr>
                <w:rFonts w:ascii="Times New Roman" w:eastAsia="Batang" w:hAnsi="Times New Roman" w:cs="Times New Roman"/>
                <w:sz w:val="20"/>
                <w:szCs w:val="20"/>
                <w:lang w:eastAsia="pl-PL"/>
              </w:rPr>
              <w:t>stężeni</w:t>
            </w:r>
            <w:r w:rsidRPr="00154BF9">
              <w:rPr>
                <w:rFonts w:ascii="Times New Roman" w:eastAsia="Batang" w:hAnsi="Times New Roman" w:cs="Times New Roman"/>
                <w:sz w:val="20"/>
                <w:szCs w:val="20"/>
                <w:lang w:eastAsia="pl-PL"/>
              </w:rPr>
              <w:t>a</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cholesterolu</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całkowitego,</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LDL,</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HDL,</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trójglicerydów</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u</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pacjentów</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leczonych</w:t>
            </w:r>
            <w:r w:rsidR="0052643B" w:rsidRPr="00154BF9">
              <w:rPr>
                <w:rFonts w:ascii="Times New Roman" w:eastAsia="Batang" w:hAnsi="Times New Roman" w:cs="Times New Roman"/>
                <w:sz w:val="20"/>
                <w:szCs w:val="20"/>
                <w:lang w:eastAsia="pl-PL"/>
              </w:rPr>
              <w:t xml:space="preserve"> </w:t>
            </w:r>
            <w:r w:rsidR="009D7AE1" w:rsidRPr="00154BF9">
              <w:rPr>
                <w:rFonts w:ascii="Times New Roman" w:eastAsia="Batang" w:hAnsi="Times New Roman" w:cs="Times New Roman"/>
                <w:sz w:val="20"/>
                <w:szCs w:val="20"/>
                <w:lang w:eastAsia="pl-PL"/>
              </w:rPr>
              <w:t>tocilizumabem</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w</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postaci</w:t>
            </w:r>
            <w:r w:rsidR="0052643B" w:rsidRPr="00154BF9">
              <w:rPr>
                <w:rFonts w:ascii="Times New Roman" w:eastAsia="Batang" w:hAnsi="Times New Roman" w:cs="Times New Roman"/>
                <w:sz w:val="20"/>
                <w:szCs w:val="20"/>
                <w:lang w:eastAsia="pl-PL"/>
              </w:rPr>
              <w:t xml:space="preserve"> </w:t>
            </w:r>
            <w:r w:rsidR="00057286" w:rsidRPr="00154BF9">
              <w:rPr>
                <w:rFonts w:ascii="Times New Roman" w:eastAsia="Batang" w:hAnsi="Times New Roman" w:cs="Times New Roman"/>
                <w:sz w:val="20"/>
                <w:szCs w:val="20"/>
                <w:lang w:eastAsia="pl-PL"/>
              </w:rPr>
              <w:t>dożylnej</w:t>
            </w:r>
            <w:r w:rsidR="009C5785">
              <w:rPr>
                <w:rFonts w:ascii="Times New Roman" w:eastAsia="Batang" w:hAnsi="Times New Roman" w:cs="Times New Roman"/>
                <w:sz w:val="20"/>
                <w:szCs w:val="20"/>
                <w:lang w:eastAsia="pl-PL"/>
              </w:rPr>
              <w:t xml:space="preserve"> lub </w:t>
            </w:r>
            <w:proofErr w:type="spellStart"/>
            <w:r w:rsidR="009C5785">
              <w:rPr>
                <w:rFonts w:ascii="Times New Roman" w:eastAsia="Batang" w:hAnsi="Times New Roman" w:cs="Times New Roman"/>
                <w:sz w:val="20"/>
                <w:szCs w:val="20"/>
                <w:lang w:eastAsia="pl-PL"/>
              </w:rPr>
              <w:t>tofacytynibem</w:t>
            </w:r>
            <w:proofErr w:type="spellEnd"/>
          </w:p>
          <w:p w14:paraId="1D779907" w14:textId="680BE333" w:rsidR="009D7AE1" w:rsidRPr="00154BF9" w:rsidRDefault="009D7AE1" w:rsidP="00127ABF">
            <w:pPr>
              <w:pStyle w:val="Akapitzlist"/>
              <w:suppressAutoHyphens/>
              <w:spacing w:after="60" w:line="276" w:lineRule="auto"/>
              <w:ind w:left="227"/>
              <w:contextualSpacing w:val="0"/>
              <w:jc w:val="both"/>
              <w:rPr>
                <w:rFonts w:ascii="Times New Roman" w:eastAsia="Times New Roman" w:hAnsi="Times New Roman" w:cs="Times New Roman"/>
                <w:sz w:val="20"/>
                <w:szCs w:val="20"/>
                <w:lang w:eastAsia="pl-PL"/>
              </w:rPr>
            </w:pPr>
            <w:r w:rsidRPr="00154BF9">
              <w:rPr>
                <w:rFonts w:ascii="Times New Roman" w:eastAsia="Batang" w:hAnsi="Times New Roman" w:cs="Times New Roman"/>
                <w:sz w:val="20"/>
                <w:szCs w:val="20"/>
                <w:lang w:eastAsia="pl-PL"/>
              </w:rPr>
              <w:t>oraz</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dokonać</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oceny</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skuteczności</w:t>
            </w:r>
            <w:r w:rsidR="0052643B" w:rsidRPr="00154BF9">
              <w:rPr>
                <w:rFonts w:ascii="Times New Roman" w:eastAsia="Batang" w:hAnsi="Times New Roman" w:cs="Times New Roman"/>
                <w:sz w:val="20"/>
                <w:szCs w:val="20"/>
                <w:lang w:eastAsia="pl-PL"/>
              </w:rPr>
              <w:t xml:space="preserve"> </w:t>
            </w:r>
            <w:r w:rsidRPr="00154BF9">
              <w:rPr>
                <w:rFonts w:ascii="Times New Roman" w:eastAsia="Batang" w:hAnsi="Times New Roman" w:cs="Times New Roman"/>
                <w:sz w:val="20"/>
                <w:szCs w:val="20"/>
                <w:lang w:eastAsia="pl-PL"/>
              </w:rPr>
              <w:t>zastosowanej</w:t>
            </w:r>
            <w:r w:rsidR="0052643B" w:rsidRPr="00154BF9">
              <w:rPr>
                <w:rFonts w:ascii="Times New Roman" w:eastAsia="Batang" w:hAnsi="Times New Roman" w:cs="Times New Roman"/>
                <w:sz w:val="20"/>
                <w:szCs w:val="20"/>
                <w:lang w:eastAsia="pl-PL"/>
              </w:rPr>
              <w:t xml:space="preserve"> </w:t>
            </w:r>
            <w:r w:rsidR="00696524" w:rsidRPr="00154BF9">
              <w:rPr>
                <w:rFonts w:ascii="Times New Roman" w:eastAsia="Batang" w:hAnsi="Times New Roman" w:cs="Times New Roman"/>
                <w:sz w:val="20"/>
                <w:szCs w:val="20"/>
                <w:lang w:eastAsia="pl-PL"/>
              </w:rPr>
              <w:t xml:space="preserve">terapii </w:t>
            </w:r>
            <w:r w:rsidR="00696524" w:rsidRPr="00154BF9">
              <w:t>wg</w:t>
            </w:r>
            <w:r w:rsidR="0029198D" w:rsidRPr="00154BF9">
              <w:rPr>
                <w:rFonts w:ascii="Times New Roman" w:eastAsia="Batang" w:hAnsi="Times New Roman" w:cs="Times New Roman"/>
                <w:sz w:val="20"/>
                <w:szCs w:val="20"/>
                <w:lang w:eastAsia="pl-PL"/>
              </w:rPr>
              <w:t xml:space="preserve"> wskaźników zalecanych </w:t>
            </w:r>
            <w:r w:rsidR="00EA4A2E" w:rsidRPr="00154BF9">
              <w:rPr>
                <w:rFonts w:ascii="Times New Roman" w:eastAsia="Batang" w:hAnsi="Times New Roman" w:cs="Times New Roman"/>
                <w:sz w:val="20"/>
                <w:szCs w:val="20"/>
                <w:lang w:eastAsia="pl-PL"/>
              </w:rPr>
              <w:t xml:space="preserve">przez </w:t>
            </w:r>
            <w:r w:rsidR="00EA4A2E" w:rsidRPr="00D92C20">
              <w:rPr>
                <w:rFonts w:ascii="Times New Roman" w:hAnsi="Times New Roman" w:cs="Times New Roman"/>
                <w:sz w:val="20"/>
                <w:szCs w:val="20"/>
              </w:rPr>
              <w:t>EULAR</w:t>
            </w:r>
            <w:r w:rsidR="0029198D" w:rsidRPr="00D92C20">
              <w:rPr>
                <w:rFonts w:ascii="Times New Roman" w:eastAsia="Batang" w:hAnsi="Times New Roman" w:cs="Times New Roman"/>
                <w:sz w:val="20"/>
                <w:szCs w:val="20"/>
                <w:lang w:eastAsia="pl-PL"/>
              </w:rPr>
              <w:t>/ACR i stosowanych</w:t>
            </w:r>
            <w:r w:rsidR="0029198D" w:rsidRPr="00154BF9">
              <w:rPr>
                <w:rFonts w:ascii="Times New Roman" w:eastAsia="Batang" w:hAnsi="Times New Roman" w:cs="Times New Roman"/>
                <w:sz w:val="20"/>
                <w:szCs w:val="20"/>
                <w:lang w:eastAsia="pl-PL"/>
              </w:rPr>
              <w:t xml:space="preserve"> rutynowo w MIZS.</w:t>
            </w:r>
          </w:p>
          <w:p w14:paraId="10365625" w14:textId="31A3DDFA" w:rsidR="009D7AE1" w:rsidRPr="00154BF9" w:rsidRDefault="009D7AE1"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Jeżeli</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terapia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jest</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kontynuowana</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powyższe</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powtarzać</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po</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każdych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kolejnych</w:t>
            </w:r>
            <w:r w:rsidR="0052643B" w:rsidRPr="00154BF9">
              <w:rPr>
                <w:rFonts w:ascii="Times New Roman" w:eastAsia="Times New Roman" w:hAnsi="Times New Roman" w:cs="Times New Roman"/>
                <w:sz w:val="20"/>
                <w:szCs w:val="20"/>
                <w:lang w:eastAsia="pl-PL"/>
              </w:rPr>
              <w:t xml:space="preserve"> </w:t>
            </w:r>
            <w:r w:rsidR="0058794E" w:rsidRPr="00154BF9">
              <w:rPr>
                <w:rFonts w:ascii="Times New Roman" w:eastAsia="Times New Roman" w:hAnsi="Times New Roman" w:cs="Times New Roman"/>
                <w:sz w:val="20"/>
                <w:szCs w:val="20"/>
                <w:lang w:eastAsia="pl-PL"/>
              </w:rPr>
              <w:t>6</w:t>
            </w:r>
            <w:r w:rsidR="0052643B" w:rsidRPr="00154BF9">
              <w:rPr>
                <w:rFonts w:ascii="Times New Roman" w:eastAsia="Times New Roman" w:hAnsi="Times New Roman" w:cs="Times New Roman"/>
                <w:sz w:val="20"/>
                <w:szCs w:val="20"/>
                <w:lang w:eastAsia="pl-PL"/>
              </w:rPr>
              <w:t xml:space="preserve"> </w:t>
            </w:r>
            <w:r w:rsidR="0058794E" w:rsidRPr="00154BF9">
              <w:rPr>
                <w:rFonts w:ascii="Times New Roman" w:eastAsia="Times New Roman" w:hAnsi="Times New Roman" w:cs="Times New Roman"/>
                <w:sz w:val="20"/>
                <w:szCs w:val="20"/>
                <w:lang w:eastAsia="pl-PL"/>
              </w:rPr>
              <w:t>miesiącach</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w:t>
            </w:r>
            <w:r w:rsidR="00251138" w:rsidRPr="00154BF9">
              <w:rPr>
                <w:rFonts w:ascii="Times New Roman" w:eastAsia="Times New Roman" w:hAnsi="Times New Roman" w:cs="Times New Roman"/>
                <w:sz w:val="20"/>
                <w:szCs w:val="20"/>
                <w:lang w:eastAsia="pl-PL"/>
              </w:rPr>
              <w:t>1</w:t>
            </w:r>
            <w:r w:rsidR="0052643B" w:rsidRPr="00154BF9">
              <w:rPr>
                <w:rFonts w:ascii="Times New Roman" w:eastAsia="Times New Roman" w:hAnsi="Times New Roman" w:cs="Times New Roman"/>
                <w:sz w:val="20"/>
                <w:szCs w:val="20"/>
                <w:lang w:eastAsia="pl-PL"/>
              </w:rPr>
              <w:t xml:space="preserve"> </w:t>
            </w:r>
            <w:r w:rsidR="00251138" w:rsidRPr="00154BF9">
              <w:rPr>
                <w:rFonts w:ascii="Times New Roman" w:eastAsia="Times New Roman" w:hAnsi="Times New Roman" w:cs="Times New Roman"/>
                <w:sz w:val="20"/>
                <w:szCs w:val="20"/>
                <w:lang w:eastAsia="pl-PL"/>
              </w:rPr>
              <w:t>miesiąc</w:t>
            </w:r>
            <w:r w:rsidRPr="00154BF9">
              <w:rPr>
                <w:rFonts w:ascii="Times New Roman" w:eastAsia="Times New Roman" w:hAnsi="Times New Roman" w:cs="Times New Roman"/>
                <w:sz w:val="20"/>
                <w:szCs w:val="20"/>
                <w:lang w:eastAsia="pl-PL"/>
              </w:rPr>
              <w:t>).</w:t>
            </w:r>
          </w:p>
          <w:p w14:paraId="00EF7948" w14:textId="77777777" w:rsidR="00267504" w:rsidRPr="00154BF9" w:rsidRDefault="00267504"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Zespół Koordynacyjny w celu monitorowania adekwatnej odpowiedzi na leczenie, na podstawie danych gromadzonych w elektronicznym systemie monitorowania programów lekowych podsumowuje wyniki leczenia w programie lekowym na koniec każdego roku. </w:t>
            </w:r>
          </w:p>
          <w:p w14:paraId="31C10D2D" w14:textId="7E0C7DF1" w:rsidR="00267504" w:rsidRPr="00154BF9" w:rsidRDefault="00267504" w:rsidP="00127ABF">
            <w:p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 xml:space="preserve">Możliwe jest, po wyrażeniu zgody przez lekarza prowadzącego terapię, przeprowadzenie wizyty w programie w formie zdalnej konsultacji i przesunięcie wykonania badań w programie na późniejszy okres o ile nie stanowi to zagrożenia dla zdrowia pacjenta i pozostaje bez wpływu na skuteczność i bezpieczeństwo prowadzonej terapii. </w:t>
            </w:r>
            <w:r w:rsidRPr="00154BF9">
              <w:rPr>
                <w:rFonts w:ascii="Times New Roman" w:eastAsia="Times New Roman" w:hAnsi="Times New Roman" w:cs="Times New Roman"/>
                <w:sz w:val="20"/>
                <w:szCs w:val="20"/>
                <w:lang w:eastAsia="pl-PL"/>
              </w:rPr>
              <w:lastRenderedPageBreak/>
              <w:t>W takiej sytuacji możliwe jest wydanie leków osobie przez niego upoważnionej w ilości każdorazowo nie większej niż niezbędna do zabezpieczenia 4-6 miesięcy terapii (w zależności od indywidualnego dawkowania oraz wielkości opakowań poszczególnych leków). Opisane powyżej postępowanie, w tym wynik zdalnej konsultacji i ocena stanu zdrowia dokonana przez lekarza prowadzącego, powinno zostać odnotowane w dokumentacji medycznej pacjenta oraz elektronicznym systemie monitorowania programów lekowych. Osobiste stawiennictwo pacjenta w ośrodku prowadzącym terapię nie może być jednak rzadsze niż 2 razy w ciągu każdych kolejnych 12 miesięcy z wyjątkiem sytuacji nadzwyczajnych, w tym zjawisk epidemicznych, kiedy dopuszcza się osobiste stawiennictwo w ośrodku prowadzącym terapię nie rzadziej niż 1 raz w ciągu każdych kolejnych 12 miesięcy.</w:t>
            </w:r>
          </w:p>
          <w:p w14:paraId="0F93908D" w14:textId="77777777" w:rsidR="009D7AE1" w:rsidRPr="00154BF9" w:rsidRDefault="009D7AE1" w:rsidP="00127ABF">
            <w:pPr>
              <w:spacing w:after="60" w:line="276" w:lineRule="auto"/>
              <w:jc w:val="both"/>
              <w:rPr>
                <w:rFonts w:ascii="Times New Roman" w:eastAsia="Times New Roman" w:hAnsi="Times New Roman" w:cs="Times New Roman"/>
                <w:bCs/>
                <w:iCs/>
                <w:sz w:val="20"/>
                <w:szCs w:val="20"/>
                <w:lang w:eastAsia="pl-PL"/>
              </w:rPr>
            </w:pPr>
          </w:p>
          <w:p w14:paraId="2B1D3329" w14:textId="47C340BC" w:rsidR="009D7AE1" w:rsidRPr="00154BF9" w:rsidRDefault="009D7AE1" w:rsidP="00127ABF">
            <w:pPr>
              <w:widowControl w:val="0"/>
              <w:numPr>
                <w:ilvl w:val="0"/>
                <w:numId w:val="24"/>
              </w:numPr>
              <w:autoSpaceDE w:val="0"/>
              <w:autoSpaceDN w:val="0"/>
              <w:adjustRightInd w:val="0"/>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b/>
                <w:sz w:val="20"/>
                <w:szCs w:val="20"/>
                <w:lang w:eastAsia="pl-PL"/>
              </w:rPr>
              <w:t>Monitorowanie</w:t>
            </w:r>
            <w:r w:rsidR="0052643B" w:rsidRPr="00154BF9">
              <w:rPr>
                <w:rFonts w:ascii="Times New Roman" w:eastAsia="Times New Roman" w:hAnsi="Times New Roman" w:cs="Times New Roman"/>
                <w:b/>
                <w:sz w:val="20"/>
                <w:szCs w:val="20"/>
                <w:lang w:eastAsia="pl-PL"/>
              </w:rPr>
              <w:t xml:space="preserve"> </w:t>
            </w:r>
            <w:r w:rsidRPr="00154BF9">
              <w:rPr>
                <w:rFonts w:ascii="Times New Roman" w:eastAsia="Times New Roman" w:hAnsi="Times New Roman" w:cs="Times New Roman"/>
                <w:b/>
                <w:sz w:val="20"/>
                <w:szCs w:val="20"/>
                <w:lang w:eastAsia="pl-PL"/>
              </w:rPr>
              <w:t>programu</w:t>
            </w:r>
          </w:p>
          <w:p w14:paraId="1A407FBE" w14:textId="0EFE01E3" w:rsidR="009D7AE1" w:rsidRPr="00154BF9" w:rsidRDefault="00F650EC"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g</w:t>
            </w:r>
            <w:r w:rsidR="009D7AE1" w:rsidRPr="00154BF9">
              <w:rPr>
                <w:rFonts w:ascii="Times New Roman" w:eastAsia="Times New Roman" w:hAnsi="Times New Roman" w:cs="Times New Roman"/>
                <w:sz w:val="20"/>
                <w:szCs w:val="20"/>
                <w:lang w:eastAsia="pl-PL"/>
              </w:rPr>
              <w:t>romadzenie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dokumentacji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medycznej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pacjenta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dotyczących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każdorazowe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przedstawianie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żądanie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kontrolerów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Narodowego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Funduszu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Zdrowia</w:t>
            </w:r>
            <w:r w:rsidRPr="00154BF9">
              <w:rPr>
                <w:rFonts w:ascii="Times New Roman" w:eastAsia="Times New Roman" w:hAnsi="Times New Roman" w:cs="Times New Roman"/>
                <w:sz w:val="20"/>
                <w:szCs w:val="20"/>
                <w:lang w:eastAsia="pl-PL"/>
              </w:rPr>
              <w:t>;</w:t>
            </w:r>
          </w:p>
          <w:p w14:paraId="37715951" w14:textId="6FD403A1" w:rsidR="009D7AE1" w:rsidRPr="00154BF9" w:rsidRDefault="00F650EC"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t>u</w:t>
            </w:r>
            <w:r w:rsidR="009D7AE1" w:rsidRPr="00154BF9">
              <w:rPr>
                <w:rFonts w:ascii="Times New Roman" w:eastAsia="Times New Roman" w:hAnsi="Times New Roman" w:cs="Times New Roman"/>
                <w:sz w:val="20"/>
                <w:szCs w:val="20"/>
                <w:lang w:eastAsia="pl-PL"/>
              </w:rPr>
              <w:t>zupełnianie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danych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zawartych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elektronicznym</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systemie</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monitorowania</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programów</w:t>
            </w:r>
            <w:r w:rsidR="0052643B" w:rsidRPr="00154BF9">
              <w:rPr>
                <w:rFonts w:ascii="Times New Roman" w:eastAsia="Times New Roman" w:hAnsi="Times New Roman" w:cs="Times New Roman"/>
                <w:sz w:val="20"/>
                <w:szCs w:val="20"/>
                <w:lang w:eastAsia="pl-PL"/>
              </w:rPr>
              <w:t xml:space="preserve"> </w:t>
            </w:r>
            <w:r w:rsidR="00C14552" w:rsidRPr="00154BF9">
              <w:rPr>
                <w:rFonts w:ascii="Times New Roman" w:eastAsia="Times New Roman" w:hAnsi="Times New Roman" w:cs="Times New Roman"/>
                <w:sz w:val="20"/>
                <w:szCs w:val="20"/>
                <w:lang w:eastAsia="pl-PL"/>
              </w:rPr>
              <w:t>lekowych,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dostępnym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pomocą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aplikacji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internetowej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udostępnionej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częstotliwością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zgodną</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opisem</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programu</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oraz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na</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zakończenie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leczenia</w:t>
            </w:r>
            <w:r w:rsidRPr="00154BF9">
              <w:rPr>
                <w:rFonts w:ascii="Times New Roman" w:eastAsia="Times New Roman" w:hAnsi="Times New Roman" w:cs="Times New Roman"/>
                <w:sz w:val="20"/>
                <w:szCs w:val="20"/>
                <w:lang w:eastAsia="pl-PL"/>
              </w:rPr>
              <w:t>;</w:t>
            </w:r>
          </w:p>
          <w:p w14:paraId="127C423C" w14:textId="7CF7DA56" w:rsidR="009D7AE1" w:rsidRPr="00154BF9" w:rsidRDefault="00F650EC" w:rsidP="00127ABF">
            <w:pPr>
              <w:numPr>
                <w:ilvl w:val="3"/>
                <w:numId w:val="24"/>
              </w:numPr>
              <w:spacing w:after="60" w:line="276" w:lineRule="auto"/>
              <w:jc w:val="both"/>
              <w:rPr>
                <w:rFonts w:ascii="Times New Roman" w:eastAsia="Times New Roman" w:hAnsi="Times New Roman" w:cs="Times New Roman"/>
                <w:sz w:val="20"/>
                <w:szCs w:val="20"/>
                <w:lang w:eastAsia="pl-PL"/>
              </w:rPr>
            </w:pPr>
            <w:r w:rsidRPr="00154BF9">
              <w:rPr>
                <w:rFonts w:ascii="Times New Roman" w:eastAsia="Times New Roman" w:hAnsi="Times New Roman" w:cs="Times New Roman"/>
                <w:sz w:val="20"/>
                <w:szCs w:val="20"/>
                <w:lang w:eastAsia="pl-PL"/>
              </w:rPr>
              <w:lastRenderedPageBreak/>
              <w:t>p</w:t>
            </w:r>
            <w:r w:rsidR="009D7AE1" w:rsidRPr="00154BF9">
              <w:rPr>
                <w:rFonts w:ascii="Times New Roman" w:eastAsia="Times New Roman" w:hAnsi="Times New Roman" w:cs="Times New Roman"/>
                <w:sz w:val="20"/>
                <w:szCs w:val="20"/>
                <w:lang w:eastAsia="pl-PL"/>
              </w:rPr>
              <w:t>rzekazywanie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sprawozdawczo-rozliczeniowych</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informacje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przekazuje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się</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do</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NFZ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papierowej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lub</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formie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elektronicznej,</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zgodnie</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z</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wymaganiami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opublikowanymi</w:t>
            </w:r>
            <w:r w:rsidR="0052643B" w:rsidRPr="00154BF9">
              <w:rPr>
                <w:rFonts w:ascii="Times New Roman" w:eastAsia="Times New Roman" w:hAnsi="Times New Roman" w:cs="Times New Roman"/>
                <w:sz w:val="20"/>
                <w:szCs w:val="20"/>
                <w:lang w:eastAsia="pl-PL"/>
              </w:rPr>
              <w:t xml:space="preserve"> </w:t>
            </w:r>
            <w:r w:rsidR="009D7AE1" w:rsidRPr="00154BF9">
              <w:rPr>
                <w:rFonts w:ascii="Times New Roman" w:eastAsia="Times New Roman" w:hAnsi="Times New Roman" w:cs="Times New Roman"/>
                <w:sz w:val="20"/>
                <w:szCs w:val="20"/>
                <w:lang w:eastAsia="pl-PL"/>
              </w:rPr>
              <w:t>przez</w:t>
            </w:r>
            <w:r w:rsidR="0052643B" w:rsidRPr="00154BF9">
              <w:rPr>
                <w:rFonts w:ascii="Times New Roman" w:eastAsia="Times New Roman" w:hAnsi="Times New Roman" w:cs="Times New Roman"/>
                <w:sz w:val="20"/>
                <w:szCs w:val="20"/>
                <w:lang w:eastAsia="pl-PL"/>
              </w:rPr>
              <w:t xml:space="preserve"> </w:t>
            </w:r>
            <w:r w:rsidRPr="00154BF9">
              <w:rPr>
                <w:rFonts w:ascii="Times New Roman" w:eastAsia="Times New Roman" w:hAnsi="Times New Roman" w:cs="Times New Roman"/>
                <w:sz w:val="20"/>
                <w:szCs w:val="20"/>
                <w:lang w:eastAsia="pl-PL"/>
              </w:rPr>
              <w:t>NFZ.</w:t>
            </w:r>
          </w:p>
          <w:p w14:paraId="4405A80D" w14:textId="77777777" w:rsidR="009D7AE1" w:rsidRPr="00154BF9" w:rsidRDefault="009D7AE1" w:rsidP="0052643B">
            <w:pPr>
              <w:spacing w:after="60" w:line="276" w:lineRule="auto"/>
              <w:jc w:val="both"/>
              <w:rPr>
                <w:rFonts w:ascii="Times New Roman" w:eastAsia="Times New Roman" w:hAnsi="Times New Roman" w:cs="Times New Roman"/>
                <w:b/>
                <w:sz w:val="20"/>
                <w:szCs w:val="20"/>
                <w:lang w:eastAsia="pl-PL"/>
              </w:rPr>
            </w:pPr>
          </w:p>
        </w:tc>
      </w:tr>
    </w:tbl>
    <w:p w14:paraId="7CF8CB3F" w14:textId="77777777" w:rsidR="00D41D26" w:rsidRPr="00154BF9" w:rsidRDefault="00D41D26"/>
    <w:sectPr w:rsidR="00D41D26" w:rsidRPr="00154BF9" w:rsidSect="00801171">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73FF3" w14:textId="77777777" w:rsidR="00801171" w:rsidRDefault="00801171" w:rsidP="009D7AE1">
      <w:pPr>
        <w:spacing w:after="0" w:line="240" w:lineRule="auto"/>
      </w:pPr>
      <w:r>
        <w:separator/>
      </w:r>
    </w:p>
  </w:endnote>
  <w:endnote w:type="continuationSeparator" w:id="0">
    <w:p w14:paraId="519ACA50" w14:textId="77777777" w:rsidR="00801171" w:rsidRDefault="00801171" w:rsidP="009D7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996302" w14:textId="77777777" w:rsidR="00801171" w:rsidRDefault="00801171" w:rsidP="009D7AE1">
      <w:pPr>
        <w:spacing w:after="0" w:line="240" w:lineRule="auto"/>
      </w:pPr>
      <w:r>
        <w:separator/>
      </w:r>
    </w:p>
  </w:footnote>
  <w:footnote w:type="continuationSeparator" w:id="0">
    <w:p w14:paraId="108BCFEB" w14:textId="77777777" w:rsidR="00801171" w:rsidRDefault="00801171" w:rsidP="009D7A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D7DC4"/>
    <w:multiLevelType w:val="hybridMultilevel"/>
    <w:tmpl w:val="AC84C55C"/>
    <w:lvl w:ilvl="0" w:tplc="FFFFFFFF">
      <w:start w:val="1"/>
      <w:numFmt w:val="decimal"/>
      <w:suff w:val="space"/>
      <w:lvlText w:val="%1)"/>
      <w:lvlJc w:val="left"/>
      <w:pPr>
        <w:ind w:left="454" w:hanging="227"/>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5041C6"/>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08391536"/>
    <w:multiLevelType w:val="hybridMultilevel"/>
    <w:tmpl w:val="AC84C55C"/>
    <w:lvl w:ilvl="0" w:tplc="E64C7CE2">
      <w:start w:val="1"/>
      <w:numFmt w:val="decimal"/>
      <w:suff w:val="space"/>
      <w:lvlText w:val="%1)"/>
      <w:lvlJc w:val="left"/>
      <w:pPr>
        <w:ind w:left="454" w:hanging="227"/>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812393"/>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0E8422D1"/>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11A8124F"/>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138872DC"/>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7" w15:restartNumberingAfterBreak="0">
    <w:nsid w:val="1BAB2362"/>
    <w:multiLevelType w:val="hybridMultilevel"/>
    <w:tmpl w:val="AC84C55C"/>
    <w:lvl w:ilvl="0" w:tplc="FFFFFFFF">
      <w:start w:val="1"/>
      <w:numFmt w:val="decimal"/>
      <w:suff w:val="space"/>
      <w:lvlText w:val="%1)"/>
      <w:lvlJc w:val="left"/>
      <w:pPr>
        <w:ind w:left="454" w:hanging="227"/>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D82EEB"/>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9" w15:restartNumberingAfterBreak="0">
    <w:nsid w:val="25F3174F"/>
    <w:multiLevelType w:val="hybridMultilevel"/>
    <w:tmpl w:val="D0C6FB6A"/>
    <w:lvl w:ilvl="0" w:tplc="14D8F94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26DA2DB1"/>
    <w:multiLevelType w:val="hybridMultilevel"/>
    <w:tmpl w:val="7FC8A3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7348B6"/>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2" w15:restartNumberingAfterBreak="0">
    <w:nsid w:val="2B1D2033"/>
    <w:multiLevelType w:val="multilevel"/>
    <w:tmpl w:val="960E2AC0"/>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lvlText w:val=""/>
      <w:lvlJc w:val="left"/>
      <w:pPr>
        <w:ind w:left="870" w:hanging="36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2E7A4ADD"/>
    <w:multiLevelType w:val="multilevel"/>
    <w:tmpl w:val="84A40444"/>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4" w15:restartNumberingAfterBreak="0">
    <w:nsid w:val="31D20C20"/>
    <w:multiLevelType w:val="hybridMultilevel"/>
    <w:tmpl w:val="C9BCABE6"/>
    <w:lvl w:ilvl="0" w:tplc="14D8F9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C94405"/>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6" w15:restartNumberingAfterBreak="0">
    <w:nsid w:val="451576CD"/>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9B73682"/>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8" w15:restartNumberingAfterBreak="0">
    <w:nsid w:val="50B45157"/>
    <w:multiLevelType w:val="multilevel"/>
    <w:tmpl w:val="C5A28CC4"/>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bCs/>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19" w15:restartNumberingAfterBreak="0">
    <w:nsid w:val="52DF7958"/>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0" w15:restartNumberingAfterBreak="0">
    <w:nsid w:val="531E6E39"/>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1" w15:restartNumberingAfterBreak="0">
    <w:nsid w:val="56B0735D"/>
    <w:multiLevelType w:val="hybridMultilevel"/>
    <w:tmpl w:val="E6EC9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1517D2"/>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3" w15:restartNumberingAfterBreak="0">
    <w:nsid w:val="5B1447B7"/>
    <w:multiLevelType w:val="hybridMultilevel"/>
    <w:tmpl w:val="768677E2"/>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4" w15:restartNumberingAfterBreak="0">
    <w:nsid w:val="5E005DDC"/>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5" w15:restartNumberingAfterBreak="0">
    <w:nsid w:val="61362DB0"/>
    <w:multiLevelType w:val="hybridMultilevel"/>
    <w:tmpl w:val="F440E5E8"/>
    <w:lvl w:ilvl="0" w:tplc="14D8F9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30037B4"/>
    <w:multiLevelType w:val="multilevel"/>
    <w:tmpl w:val="4560DF2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7" w15:restartNumberingAfterBreak="0">
    <w:nsid w:val="65E66933"/>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667266DB"/>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29" w15:restartNumberingAfterBreak="0">
    <w:nsid w:val="6AB73EF6"/>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0" w15:restartNumberingAfterBreak="0">
    <w:nsid w:val="6BBE2BB6"/>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1" w15:restartNumberingAfterBreak="0">
    <w:nsid w:val="6EDB1CFE"/>
    <w:multiLevelType w:val="multilevel"/>
    <w:tmpl w:val="50C8944E"/>
    <w:lvl w:ilvl="0">
      <w:start w:val="1"/>
      <w:numFmt w:val="decimal"/>
      <w:suff w:val="space"/>
      <w:lvlText w:val="%1."/>
      <w:lvlJc w:val="left"/>
      <w:pPr>
        <w:ind w:left="227" w:hanging="227"/>
      </w:pPr>
      <w:rPr>
        <w:b/>
      </w:rPr>
    </w:lvl>
    <w:lvl w:ilvl="1">
      <w:start w:val="1"/>
      <w:numFmt w:val="decimal"/>
      <w:suff w:val="space"/>
      <w:lvlText w:val="%1.%2."/>
      <w:lvlJc w:val="left"/>
      <w:pPr>
        <w:ind w:left="227" w:hanging="227"/>
      </w:pPr>
      <w:rPr>
        <w:b w:val="0"/>
        <w:bCs w:val="0"/>
      </w:rPr>
    </w:lvl>
    <w:lvl w:ilvl="2">
      <w:start w:val="1"/>
      <w:numFmt w:val="decimal"/>
      <w:suff w:val="space"/>
      <w:lvlText w:val="%1.%2.%3."/>
      <w:lvlJc w:val="left"/>
      <w:pPr>
        <w:ind w:left="227" w:hanging="227"/>
      </w:pPr>
      <w:rPr>
        <w:b/>
        <w:bCs/>
        <w:i w:val="0"/>
      </w:rPr>
    </w:lvl>
    <w:lvl w:ilvl="3">
      <w:start w:val="1"/>
      <w:numFmt w:val="decimal"/>
      <w:suff w:val="space"/>
      <w:lvlText w:val="%4)"/>
      <w:lvlJc w:val="left"/>
      <w:pPr>
        <w:ind w:left="454" w:hanging="227"/>
      </w:pPr>
      <w:rPr>
        <w:b w:val="0"/>
        <w:bCs w:val="0"/>
      </w:rPr>
    </w:lvl>
    <w:lvl w:ilvl="4">
      <w:start w:val="1"/>
      <w:numFmt w:val="lowerLetter"/>
      <w:suff w:val="space"/>
      <w:lvlText w:val="%5)"/>
      <w:lvlJc w:val="left"/>
      <w:pPr>
        <w:ind w:left="680" w:hanging="226"/>
      </w:pPr>
      <w:rPr>
        <w:b w:val="0"/>
        <w:b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lvl>
    <w:lvl w:ilvl="7">
      <w:start w:val="1"/>
      <w:numFmt w:val="decimal"/>
      <w:lvlText w:val="%1.%2.%3.%4.%5.%6.%7.%8."/>
      <w:lvlJc w:val="left"/>
      <w:pPr>
        <w:ind w:left="3950" w:hanging="1224"/>
      </w:pPr>
    </w:lvl>
    <w:lvl w:ilvl="8">
      <w:start w:val="1"/>
      <w:numFmt w:val="decimal"/>
      <w:lvlText w:val="%1.%2.%3.%4.%5.%6.%7.%8.%9."/>
      <w:lvlJc w:val="left"/>
      <w:pPr>
        <w:ind w:left="4526" w:hanging="1440"/>
      </w:pPr>
    </w:lvl>
  </w:abstractNum>
  <w:abstractNum w:abstractNumId="32" w15:restartNumberingAfterBreak="0">
    <w:nsid w:val="72FA2FB7"/>
    <w:multiLevelType w:val="hybridMultilevel"/>
    <w:tmpl w:val="01D818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FF0723"/>
    <w:multiLevelType w:val="multilevel"/>
    <w:tmpl w:val="9800E49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val="0"/>
        <w:bCs w:val="0"/>
      </w:rPr>
    </w:lvl>
    <w:lvl w:ilvl="2">
      <w:start w:val="1"/>
      <w:numFmt w:val="decimal"/>
      <w:suff w:val="space"/>
      <w:lvlText w:val="%3)"/>
      <w:lvlJc w:val="left"/>
      <w:pPr>
        <w:ind w:left="397" w:hanging="227"/>
      </w:pPr>
      <w:rPr>
        <w:rFonts w:hint="default"/>
        <w:b w:val="0"/>
        <w:bCs/>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655523970">
    <w:abstractNumId w:val="1"/>
  </w:num>
  <w:num w:numId="2" w16cid:durableId="1090151962">
    <w:abstractNumId w:val="26"/>
  </w:num>
  <w:num w:numId="3" w16cid:durableId="994333008">
    <w:abstractNumId w:val="3"/>
  </w:num>
  <w:num w:numId="4" w16cid:durableId="1313825259">
    <w:abstractNumId w:val="4"/>
  </w:num>
  <w:num w:numId="5" w16cid:durableId="1399327778">
    <w:abstractNumId w:val="20"/>
  </w:num>
  <w:num w:numId="6" w16cid:durableId="639922633">
    <w:abstractNumId w:val="16"/>
  </w:num>
  <w:num w:numId="7" w16cid:durableId="817763480">
    <w:abstractNumId w:val="32"/>
  </w:num>
  <w:num w:numId="8" w16cid:durableId="1629163697">
    <w:abstractNumId w:val="14"/>
  </w:num>
  <w:num w:numId="9" w16cid:durableId="2085565041">
    <w:abstractNumId w:val="10"/>
  </w:num>
  <w:num w:numId="10" w16cid:durableId="1638949534">
    <w:abstractNumId w:val="12"/>
  </w:num>
  <w:num w:numId="11" w16cid:durableId="1508326741">
    <w:abstractNumId w:val="5"/>
  </w:num>
  <w:num w:numId="12" w16cid:durableId="1279918237">
    <w:abstractNumId w:val="29"/>
  </w:num>
  <w:num w:numId="13" w16cid:durableId="102264159">
    <w:abstractNumId w:val="27"/>
  </w:num>
  <w:num w:numId="14" w16cid:durableId="411976728">
    <w:abstractNumId w:val="22"/>
  </w:num>
  <w:num w:numId="15" w16cid:durableId="26613368">
    <w:abstractNumId w:val="33"/>
  </w:num>
  <w:num w:numId="16" w16cid:durableId="2001232530">
    <w:abstractNumId w:val="23"/>
  </w:num>
  <w:num w:numId="17" w16cid:durableId="900362568">
    <w:abstractNumId w:val="9"/>
  </w:num>
  <w:num w:numId="18" w16cid:durableId="295916124">
    <w:abstractNumId w:val="25"/>
  </w:num>
  <w:num w:numId="19" w16cid:durableId="1319306573">
    <w:abstractNumId w:val="8"/>
  </w:num>
  <w:num w:numId="20" w16cid:durableId="1971670436">
    <w:abstractNumId w:val="19"/>
  </w:num>
  <w:num w:numId="21" w16cid:durableId="791367999">
    <w:abstractNumId w:val="30"/>
  </w:num>
  <w:num w:numId="22" w16cid:durableId="1357578931">
    <w:abstractNumId w:val="13"/>
  </w:num>
  <w:num w:numId="23" w16cid:durableId="859971186">
    <w:abstractNumId w:val="11"/>
  </w:num>
  <w:num w:numId="24" w16cid:durableId="1195383180">
    <w:abstractNumId w:val="18"/>
  </w:num>
  <w:num w:numId="25" w16cid:durableId="862595967">
    <w:abstractNumId w:val="2"/>
  </w:num>
  <w:num w:numId="26" w16cid:durableId="606424366">
    <w:abstractNumId w:val="7"/>
  </w:num>
  <w:num w:numId="27" w16cid:durableId="383606491">
    <w:abstractNumId w:val="0"/>
  </w:num>
  <w:num w:numId="28" w16cid:durableId="1439982807">
    <w:abstractNumId w:val="17"/>
  </w:num>
  <w:num w:numId="29" w16cid:durableId="900216257">
    <w:abstractNumId w:val="28"/>
  </w:num>
  <w:num w:numId="30" w16cid:durableId="958878960">
    <w:abstractNumId w:val="15"/>
  </w:num>
  <w:num w:numId="31" w16cid:durableId="922835515">
    <w:abstractNumId w:val="6"/>
  </w:num>
  <w:num w:numId="32" w16cid:durableId="2116947211">
    <w:abstractNumId w:val="24"/>
  </w:num>
  <w:num w:numId="33" w16cid:durableId="1705712589">
    <w:abstractNumId w:val="31"/>
  </w:num>
  <w:num w:numId="34" w16cid:durableId="2042779468">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928"/>
    <w:rsid w:val="00000D86"/>
    <w:rsid w:val="000058E7"/>
    <w:rsid w:val="00013536"/>
    <w:rsid w:val="000161B7"/>
    <w:rsid w:val="000219B9"/>
    <w:rsid w:val="0002216B"/>
    <w:rsid w:val="00024A28"/>
    <w:rsid w:val="000258F8"/>
    <w:rsid w:val="00026AEE"/>
    <w:rsid w:val="00027398"/>
    <w:rsid w:val="00034E48"/>
    <w:rsid w:val="000357FD"/>
    <w:rsid w:val="0004021B"/>
    <w:rsid w:val="0004660E"/>
    <w:rsid w:val="00047865"/>
    <w:rsid w:val="00057286"/>
    <w:rsid w:val="00062A5E"/>
    <w:rsid w:val="00064773"/>
    <w:rsid w:val="00065C0C"/>
    <w:rsid w:val="00066C3F"/>
    <w:rsid w:val="00067F48"/>
    <w:rsid w:val="000717B4"/>
    <w:rsid w:val="000770C4"/>
    <w:rsid w:val="00087EB3"/>
    <w:rsid w:val="00096338"/>
    <w:rsid w:val="000A1224"/>
    <w:rsid w:val="000A3E98"/>
    <w:rsid w:val="000A785E"/>
    <w:rsid w:val="000B0258"/>
    <w:rsid w:val="000B0A18"/>
    <w:rsid w:val="000B6F95"/>
    <w:rsid w:val="000D78D7"/>
    <w:rsid w:val="000D7B59"/>
    <w:rsid w:val="000E4233"/>
    <w:rsid w:val="000E78D0"/>
    <w:rsid w:val="000F7868"/>
    <w:rsid w:val="00127ABF"/>
    <w:rsid w:val="00141EDA"/>
    <w:rsid w:val="00142A03"/>
    <w:rsid w:val="00154BF9"/>
    <w:rsid w:val="00161A61"/>
    <w:rsid w:val="00165F2C"/>
    <w:rsid w:val="001810EF"/>
    <w:rsid w:val="00192353"/>
    <w:rsid w:val="001A1A24"/>
    <w:rsid w:val="001A4D7C"/>
    <w:rsid w:val="001A6924"/>
    <w:rsid w:val="001B1928"/>
    <w:rsid w:val="001F280A"/>
    <w:rsid w:val="001F28D2"/>
    <w:rsid w:val="001F56D8"/>
    <w:rsid w:val="00202CFC"/>
    <w:rsid w:val="00204A53"/>
    <w:rsid w:val="00210416"/>
    <w:rsid w:val="0021270D"/>
    <w:rsid w:val="002140C4"/>
    <w:rsid w:val="00226BBD"/>
    <w:rsid w:val="0024099B"/>
    <w:rsid w:val="00247678"/>
    <w:rsid w:val="00251138"/>
    <w:rsid w:val="002550C4"/>
    <w:rsid w:val="002564A8"/>
    <w:rsid w:val="00257D3C"/>
    <w:rsid w:val="00261A82"/>
    <w:rsid w:val="002663F3"/>
    <w:rsid w:val="00267504"/>
    <w:rsid w:val="0029198D"/>
    <w:rsid w:val="00296619"/>
    <w:rsid w:val="002A0280"/>
    <w:rsid w:val="002A4AF0"/>
    <w:rsid w:val="002A565F"/>
    <w:rsid w:val="002A6ECB"/>
    <w:rsid w:val="002B253E"/>
    <w:rsid w:val="002C28DF"/>
    <w:rsid w:val="002C5EE9"/>
    <w:rsid w:val="002E4417"/>
    <w:rsid w:val="002F4704"/>
    <w:rsid w:val="002F4B92"/>
    <w:rsid w:val="00301909"/>
    <w:rsid w:val="00322658"/>
    <w:rsid w:val="003373F6"/>
    <w:rsid w:val="00342F2A"/>
    <w:rsid w:val="00344BD2"/>
    <w:rsid w:val="00350537"/>
    <w:rsid w:val="00353076"/>
    <w:rsid w:val="00357466"/>
    <w:rsid w:val="00367F48"/>
    <w:rsid w:val="00370A55"/>
    <w:rsid w:val="00370FD1"/>
    <w:rsid w:val="00390D64"/>
    <w:rsid w:val="003915A1"/>
    <w:rsid w:val="00392A9F"/>
    <w:rsid w:val="003A2ADC"/>
    <w:rsid w:val="003B636C"/>
    <w:rsid w:val="003D3739"/>
    <w:rsid w:val="003D7E27"/>
    <w:rsid w:val="003E5655"/>
    <w:rsid w:val="003F2552"/>
    <w:rsid w:val="003F40C9"/>
    <w:rsid w:val="00402AA1"/>
    <w:rsid w:val="004038D2"/>
    <w:rsid w:val="00405FB5"/>
    <w:rsid w:val="0041251A"/>
    <w:rsid w:val="004144A9"/>
    <w:rsid w:val="00417414"/>
    <w:rsid w:val="00427B21"/>
    <w:rsid w:val="0043742A"/>
    <w:rsid w:val="00437CEE"/>
    <w:rsid w:val="00462B7E"/>
    <w:rsid w:val="0048212E"/>
    <w:rsid w:val="00494A5E"/>
    <w:rsid w:val="00494CF1"/>
    <w:rsid w:val="004A101F"/>
    <w:rsid w:val="004A5FF5"/>
    <w:rsid w:val="004A6206"/>
    <w:rsid w:val="004C0083"/>
    <w:rsid w:val="004D2016"/>
    <w:rsid w:val="004D380C"/>
    <w:rsid w:val="004E4524"/>
    <w:rsid w:val="004F7B25"/>
    <w:rsid w:val="00507204"/>
    <w:rsid w:val="0051058B"/>
    <w:rsid w:val="00521604"/>
    <w:rsid w:val="005249EB"/>
    <w:rsid w:val="00524C3B"/>
    <w:rsid w:val="0052643B"/>
    <w:rsid w:val="00527E22"/>
    <w:rsid w:val="00540335"/>
    <w:rsid w:val="00543F74"/>
    <w:rsid w:val="005441A9"/>
    <w:rsid w:val="00551DED"/>
    <w:rsid w:val="00556656"/>
    <w:rsid w:val="00561D8E"/>
    <w:rsid w:val="00571E74"/>
    <w:rsid w:val="00580569"/>
    <w:rsid w:val="005810F1"/>
    <w:rsid w:val="0058794E"/>
    <w:rsid w:val="005A3F21"/>
    <w:rsid w:val="005A5C84"/>
    <w:rsid w:val="005B4D28"/>
    <w:rsid w:val="005E1332"/>
    <w:rsid w:val="00604F32"/>
    <w:rsid w:val="0062454F"/>
    <w:rsid w:val="00630679"/>
    <w:rsid w:val="00654BCF"/>
    <w:rsid w:val="00664775"/>
    <w:rsid w:val="006675ED"/>
    <w:rsid w:val="00670191"/>
    <w:rsid w:val="00677DFF"/>
    <w:rsid w:val="0068170D"/>
    <w:rsid w:val="00682DB1"/>
    <w:rsid w:val="0068560B"/>
    <w:rsid w:val="00696524"/>
    <w:rsid w:val="006A7CEE"/>
    <w:rsid w:val="006B462E"/>
    <w:rsid w:val="006C0F6A"/>
    <w:rsid w:val="006C2ABD"/>
    <w:rsid w:val="006D087B"/>
    <w:rsid w:val="006E514E"/>
    <w:rsid w:val="007050E5"/>
    <w:rsid w:val="00727F3F"/>
    <w:rsid w:val="00732CF6"/>
    <w:rsid w:val="007419E8"/>
    <w:rsid w:val="00780321"/>
    <w:rsid w:val="00786F2C"/>
    <w:rsid w:val="0079148F"/>
    <w:rsid w:val="00795C23"/>
    <w:rsid w:val="00796C4D"/>
    <w:rsid w:val="00797D42"/>
    <w:rsid w:val="007B64CE"/>
    <w:rsid w:val="007C7543"/>
    <w:rsid w:val="007D77AD"/>
    <w:rsid w:val="007E04C3"/>
    <w:rsid w:val="007F17F1"/>
    <w:rsid w:val="007F271B"/>
    <w:rsid w:val="007F49A5"/>
    <w:rsid w:val="00801171"/>
    <w:rsid w:val="00813190"/>
    <w:rsid w:val="008163E9"/>
    <w:rsid w:val="00823F41"/>
    <w:rsid w:val="008245AD"/>
    <w:rsid w:val="008325C5"/>
    <w:rsid w:val="00843ABB"/>
    <w:rsid w:val="008444A0"/>
    <w:rsid w:val="00865C66"/>
    <w:rsid w:val="00875174"/>
    <w:rsid w:val="00876779"/>
    <w:rsid w:val="00892EB0"/>
    <w:rsid w:val="008939D6"/>
    <w:rsid w:val="008A07B8"/>
    <w:rsid w:val="008A20BD"/>
    <w:rsid w:val="008A3AAD"/>
    <w:rsid w:val="008B5670"/>
    <w:rsid w:val="008C0EA1"/>
    <w:rsid w:val="008C15AD"/>
    <w:rsid w:val="008C1C3E"/>
    <w:rsid w:val="008C29F7"/>
    <w:rsid w:val="008D1B73"/>
    <w:rsid w:val="008D3B38"/>
    <w:rsid w:val="008D4966"/>
    <w:rsid w:val="008D5639"/>
    <w:rsid w:val="008F3740"/>
    <w:rsid w:val="00904013"/>
    <w:rsid w:val="00906D15"/>
    <w:rsid w:val="00921C15"/>
    <w:rsid w:val="00933C37"/>
    <w:rsid w:val="00937C9C"/>
    <w:rsid w:val="00942CD3"/>
    <w:rsid w:val="00943508"/>
    <w:rsid w:val="00946409"/>
    <w:rsid w:val="00947B80"/>
    <w:rsid w:val="00947D88"/>
    <w:rsid w:val="00966003"/>
    <w:rsid w:val="00970FF7"/>
    <w:rsid w:val="009807A4"/>
    <w:rsid w:val="009842A2"/>
    <w:rsid w:val="00984622"/>
    <w:rsid w:val="0098464F"/>
    <w:rsid w:val="00984813"/>
    <w:rsid w:val="00985BEF"/>
    <w:rsid w:val="009905F1"/>
    <w:rsid w:val="009A019D"/>
    <w:rsid w:val="009C113F"/>
    <w:rsid w:val="009C5785"/>
    <w:rsid w:val="009C745B"/>
    <w:rsid w:val="009D2AF5"/>
    <w:rsid w:val="009D7AE1"/>
    <w:rsid w:val="009E4F75"/>
    <w:rsid w:val="009F08ED"/>
    <w:rsid w:val="009F35CF"/>
    <w:rsid w:val="00A0131A"/>
    <w:rsid w:val="00A078B7"/>
    <w:rsid w:val="00A1439C"/>
    <w:rsid w:val="00A15999"/>
    <w:rsid w:val="00A30C1C"/>
    <w:rsid w:val="00A36956"/>
    <w:rsid w:val="00A36FED"/>
    <w:rsid w:val="00A37884"/>
    <w:rsid w:val="00A56095"/>
    <w:rsid w:val="00A60E43"/>
    <w:rsid w:val="00A72389"/>
    <w:rsid w:val="00A73D51"/>
    <w:rsid w:val="00A857A0"/>
    <w:rsid w:val="00A9000F"/>
    <w:rsid w:val="00A93F06"/>
    <w:rsid w:val="00AB1012"/>
    <w:rsid w:val="00AC25A8"/>
    <w:rsid w:val="00AF4063"/>
    <w:rsid w:val="00AF4C87"/>
    <w:rsid w:val="00AF7E09"/>
    <w:rsid w:val="00B26FC8"/>
    <w:rsid w:val="00B27143"/>
    <w:rsid w:val="00B37612"/>
    <w:rsid w:val="00B42909"/>
    <w:rsid w:val="00B53643"/>
    <w:rsid w:val="00B57721"/>
    <w:rsid w:val="00B701AB"/>
    <w:rsid w:val="00B73D05"/>
    <w:rsid w:val="00B817E6"/>
    <w:rsid w:val="00B85345"/>
    <w:rsid w:val="00B96557"/>
    <w:rsid w:val="00BB4625"/>
    <w:rsid w:val="00BC1BB0"/>
    <w:rsid w:val="00BC4FFC"/>
    <w:rsid w:val="00BD5DA4"/>
    <w:rsid w:val="00BD79BD"/>
    <w:rsid w:val="00BE0E1B"/>
    <w:rsid w:val="00BE41F7"/>
    <w:rsid w:val="00C0036F"/>
    <w:rsid w:val="00C10F7E"/>
    <w:rsid w:val="00C134CF"/>
    <w:rsid w:val="00C13F65"/>
    <w:rsid w:val="00C14552"/>
    <w:rsid w:val="00C15816"/>
    <w:rsid w:val="00C172F3"/>
    <w:rsid w:val="00C20548"/>
    <w:rsid w:val="00C247D7"/>
    <w:rsid w:val="00C32E4B"/>
    <w:rsid w:val="00C35B46"/>
    <w:rsid w:val="00C421A5"/>
    <w:rsid w:val="00C63D99"/>
    <w:rsid w:val="00C75EA1"/>
    <w:rsid w:val="00C957F1"/>
    <w:rsid w:val="00C96913"/>
    <w:rsid w:val="00CA0EC2"/>
    <w:rsid w:val="00CA55A9"/>
    <w:rsid w:val="00CA7829"/>
    <w:rsid w:val="00CA7FFE"/>
    <w:rsid w:val="00CB0468"/>
    <w:rsid w:val="00CB2AC0"/>
    <w:rsid w:val="00CB2BED"/>
    <w:rsid w:val="00CC1E78"/>
    <w:rsid w:val="00CC2624"/>
    <w:rsid w:val="00D04863"/>
    <w:rsid w:val="00D061B9"/>
    <w:rsid w:val="00D130F0"/>
    <w:rsid w:val="00D249CC"/>
    <w:rsid w:val="00D34207"/>
    <w:rsid w:val="00D41D26"/>
    <w:rsid w:val="00D423E2"/>
    <w:rsid w:val="00D43FFC"/>
    <w:rsid w:val="00D443F5"/>
    <w:rsid w:val="00D50502"/>
    <w:rsid w:val="00D54488"/>
    <w:rsid w:val="00D65BA7"/>
    <w:rsid w:val="00D74A84"/>
    <w:rsid w:val="00D76175"/>
    <w:rsid w:val="00D84FFB"/>
    <w:rsid w:val="00D92C20"/>
    <w:rsid w:val="00D95D33"/>
    <w:rsid w:val="00DB0E9C"/>
    <w:rsid w:val="00DB19BC"/>
    <w:rsid w:val="00DB7742"/>
    <w:rsid w:val="00DE0F1A"/>
    <w:rsid w:val="00DE7A19"/>
    <w:rsid w:val="00DF228D"/>
    <w:rsid w:val="00DF47D9"/>
    <w:rsid w:val="00E01974"/>
    <w:rsid w:val="00E04BA2"/>
    <w:rsid w:val="00E233C5"/>
    <w:rsid w:val="00E40AED"/>
    <w:rsid w:val="00E46108"/>
    <w:rsid w:val="00E4719C"/>
    <w:rsid w:val="00E5726E"/>
    <w:rsid w:val="00E64E8D"/>
    <w:rsid w:val="00E657CE"/>
    <w:rsid w:val="00E71C43"/>
    <w:rsid w:val="00E73429"/>
    <w:rsid w:val="00E85D92"/>
    <w:rsid w:val="00E928F6"/>
    <w:rsid w:val="00E930A7"/>
    <w:rsid w:val="00EA4A2E"/>
    <w:rsid w:val="00EA6B9A"/>
    <w:rsid w:val="00EC0666"/>
    <w:rsid w:val="00EC7B60"/>
    <w:rsid w:val="00ED6B72"/>
    <w:rsid w:val="00F02D07"/>
    <w:rsid w:val="00F03CEB"/>
    <w:rsid w:val="00F16A59"/>
    <w:rsid w:val="00F36BF9"/>
    <w:rsid w:val="00F37E0B"/>
    <w:rsid w:val="00F438BE"/>
    <w:rsid w:val="00F442F5"/>
    <w:rsid w:val="00F569AE"/>
    <w:rsid w:val="00F6054E"/>
    <w:rsid w:val="00F630E3"/>
    <w:rsid w:val="00F650EC"/>
    <w:rsid w:val="00F907C9"/>
    <w:rsid w:val="00F924F7"/>
    <w:rsid w:val="00F943A7"/>
    <w:rsid w:val="00FA0590"/>
    <w:rsid w:val="00FC0580"/>
    <w:rsid w:val="00FC70C1"/>
    <w:rsid w:val="00FD2A37"/>
    <w:rsid w:val="00FE3490"/>
    <w:rsid w:val="00FE68ED"/>
    <w:rsid w:val="00FF058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7BABE"/>
  <w15:docId w15:val="{D7CEFEC3-99B5-4F45-B621-DF3AE844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7CE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7AE1"/>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9D7AE1"/>
    <w:rPr>
      <w:rFonts w:ascii="Calibri" w:eastAsia="Calibri" w:hAnsi="Calibri" w:cs="Times New Roman"/>
    </w:rPr>
  </w:style>
  <w:style w:type="paragraph" w:styleId="Stopka">
    <w:name w:val="footer"/>
    <w:basedOn w:val="Normalny"/>
    <w:link w:val="StopkaZnak"/>
    <w:uiPriority w:val="99"/>
    <w:unhideWhenUsed/>
    <w:rsid w:val="009D7A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7AE1"/>
  </w:style>
  <w:style w:type="paragraph" w:styleId="Akapitzlist">
    <w:name w:val="List Paragraph"/>
    <w:aliases w:val="Styl moj,Akapit z listą11,podpunkt ankietyy,Bullet List,Table Legend"/>
    <w:basedOn w:val="Normalny"/>
    <w:link w:val="AkapitzlistZnak"/>
    <w:uiPriority w:val="34"/>
    <w:qFormat/>
    <w:rsid w:val="008939D6"/>
    <w:pPr>
      <w:ind w:left="720"/>
      <w:contextualSpacing/>
    </w:pPr>
  </w:style>
  <w:style w:type="paragraph" w:styleId="Tekstdymka">
    <w:name w:val="Balloon Text"/>
    <w:basedOn w:val="Normalny"/>
    <w:link w:val="TekstdymkaZnak"/>
    <w:uiPriority w:val="99"/>
    <w:semiHidden/>
    <w:unhideWhenUsed/>
    <w:rsid w:val="0068170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170D"/>
    <w:rPr>
      <w:rFonts w:ascii="Tahoma" w:hAnsi="Tahoma" w:cs="Tahoma"/>
      <w:sz w:val="16"/>
      <w:szCs w:val="16"/>
    </w:rPr>
  </w:style>
  <w:style w:type="character" w:styleId="Odwoaniedokomentarza">
    <w:name w:val="annotation reference"/>
    <w:basedOn w:val="Domylnaczcionkaakapitu"/>
    <w:uiPriority w:val="99"/>
    <w:semiHidden/>
    <w:unhideWhenUsed/>
    <w:rsid w:val="001F56D8"/>
    <w:rPr>
      <w:sz w:val="16"/>
      <w:szCs w:val="16"/>
    </w:rPr>
  </w:style>
  <w:style w:type="paragraph" w:styleId="Tekstkomentarza">
    <w:name w:val="annotation text"/>
    <w:basedOn w:val="Normalny"/>
    <w:link w:val="TekstkomentarzaZnak"/>
    <w:uiPriority w:val="99"/>
    <w:unhideWhenUsed/>
    <w:rsid w:val="001F56D8"/>
    <w:pPr>
      <w:spacing w:line="240" w:lineRule="auto"/>
    </w:pPr>
    <w:rPr>
      <w:sz w:val="20"/>
      <w:szCs w:val="20"/>
    </w:rPr>
  </w:style>
  <w:style w:type="character" w:customStyle="1" w:styleId="TekstkomentarzaZnak">
    <w:name w:val="Tekst komentarza Znak"/>
    <w:basedOn w:val="Domylnaczcionkaakapitu"/>
    <w:link w:val="Tekstkomentarza"/>
    <w:uiPriority w:val="99"/>
    <w:rsid w:val="001F56D8"/>
    <w:rPr>
      <w:sz w:val="20"/>
      <w:szCs w:val="20"/>
    </w:rPr>
  </w:style>
  <w:style w:type="paragraph" w:styleId="Tematkomentarza">
    <w:name w:val="annotation subject"/>
    <w:basedOn w:val="Tekstkomentarza"/>
    <w:next w:val="Tekstkomentarza"/>
    <w:link w:val="TematkomentarzaZnak"/>
    <w:uiPriority w:val="99"/>
    <w:semiHidden/>
    <w:unhideWhenUsed/>
    <w:rsid w:val="001F56D8"/>
    <w:rPr>
      <w:b/>
      <w:bCs/>
    </w:rPr>
  </w:style>
  <w:style w:type="character" w:customStyle="1" w:styleId="TematkomentarzaZnak">
    <w:name w:val="Temat komentarza Znak"/>
    <w:basedOn w:val="TekstkomentarzaZnak"/>
    <w:link w:val="Tematkomentarza"/>
    <w:uiPriority w:val="99"/>
    <w:semiHidden/>
    <w:rsid w:val="001F56D8"/>
    <w:rPr>
      <w:b/>
      <w:bCs/>
      <w:sz w:val="20"/>
      <w:szCs w:val="20"/>
    </w:rPr>
  </w:style>
  <w:style w:type="paragraph" w:styleId="Poprawka">
    <w:name w:val="Revision"/>
    <w:hidden/>
    <w:uiPriority w:val="99"/>
    <w:semiHidden/>
    <w:rsid w:val="00C75EA1"/>
    <w:pPr>
      <w:spacing w:after="0" w:line="240" w:lineRule="auto"/>
    </w:pPr>
  </w:style>
  <w:style w:type="character" w:customStyle="1" w:styleId="AkapitzlistZnak">
    <w:name w:val="Akapit z listą Znak"/>
    <w:aliases w:val="Styl moj Znak,Akapit z listą11 Znak,podpunkt ankietyy Znak,Bullet List Znak,Table Legend Znak"/>
    <w:link w:val="Akapitzlist"/>
    <w:uiPriority w:val="34"/>
    <w:locked/>
    <w:rsid w:val="004F7B25"/>
  </w:style>
  <w:style w:type="paragraph" w:customStyle="1" w:styleId="Default">
    <w:name w:val="Default"/>
    <w:rsid w:val="000B02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63102-9ECC-4DAD-BBD3-662CCBF62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7120</Words>
  <Characters>42725</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Żmuda Katarzyna</dc:creator>
  <cp:lastModifiedBy>Bołzan Renata</cp:lastModifiedBy>
  <cp:revision>2</cp:revision>
  <dcterms:created xsi:type="dcterms:W3CDTF">2024-12-09T10:47:00Z</dcterms:created>
  <dcterms:modified xsi:type="dcterms:W3CDTF">2024-12-09T10:47:00Z</dcterms:modified>
</cp:coreProperties>
</file>